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SpielOV (Brandenburg) — Spieleinsätze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Spieleinsätze</w:t>
      </w:r>
    </w:p>
    <w:p>
      <w:r>
        <w:t xml:space="preserve">sind in der in den Spielregeln und Beschreibungen nach § 3 Absatz 4 und 5</w:t>
      </w:r>
    </w:p>
    <w:p>
      <w:r>
        <w:t xml:space="preserve">festgelegten Weise und in der dort bestimmten Höhe (Mindest- und Höchstbeträge)</w:t>
      </w:r>
    </w:p>
    <w:p>
      <w:r>
        <w:t xml:space="preserve">zu erbringen. Zu Festlegungen und Bestimmungen nach Satz 1 hat der</w:t>
      </w:r>
    </w:p>
    <w:p>
      <w:r>
        <w:t xml:space="preserve">Spielbankunternehmer die für Suchtprävention zuständige oberste Landesbehörde</w:t>
      </w:r>
    </w:p>
    <w:p>
      <w:r>
        <w:t xml:space="preserve">vorher zu hören.</w:t>
      </w:r>
    </w:p>
    <w:p>
      <w:r>
        <w:rPr>
          <w:color w:val="555555"/>
          <w:sz w:val="17"/>
        </w:rPr>
        <w:t xml:space="preserve">Zitiervorschlag: § 4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