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SpielOV (Brandenburg) — Erlaubte Spiele</w:t>
      </w:r>
    </w:p>
    <w:p>
      <w:r>
        <w:rPr>
          <w:color w:val="555555"/>
          <w:sz w:val="18"/>
        </w:rPr>
        <w:t xml:space="preserve">Spielordnungsverordnung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</w:t>
      </w:r>
    </w:p>
    <w:p>
      <w:r>
        <w:t xml:space="preserve">Spielbanken dürfen nach Maßgabe der Absätze 4 bis 5 alle Spiele der in Absatz 2</w:t>
      </w:r>
    </w:p>
    <w:p>
      <w:r>
        <w:t xml:space="preserve">bestimmten Spieltypen des Klassischen Spiels und Automatenspiele im Sinne des</w:t>
      </w:r>
    </w:p>
    <w:p>
      <w:r>
        <w:t xml:space="preserve">Absatzes 3 gespielt werden.</w:t>
      </w:r>
    </w:p>
    <w:p>
      <w:r>
        <w:t xml:space="preserve">(2) Zum</w:t>
      </w:r>
    </w:p>
    <w:p>
      <w:r>
        <w:t xml:space="preserve">Klassischen Spiel sind folgende Spieltypen zugelassen: Baccara, Black Jack,</w:t>
      </w:r>
    </w:p>
    <w:p>
      <w:r>
        <w:t xml:space="preserve">Craps, Glücksrad, Roulette, Poker, Punto Banco und Sic Bo.</w:t>
      </w:r>
    </w:p>
    <w:p>
      <w:r>
        <w:t xml:space="preserve">(3)</w:t>
      </w:r>
    </w:p>
    <w:p>
      <w:r>
        <w:t xml:space="preserve">Automatenspiele im Sinne dieser Verordnung sind nur solche Glücksspiele (§ 3</w:t>
      </w:r>
    </w:p>
    <w:p>
      <w:r>
        <w:t xml:space="preserve">Absatz 1 des Glücksspielstaatsvertrages), die von Spielbeginn bis Spielende</w:t>
      </w:r>
    </w:p>
    <w:p>
      <w:r>
        <w:t xml:space="preserve">einschließlich der Auszahlung eines Gewinns ausschließlich mit einem</w:t>
      </w:r>
    </w:p>
    <w:p>
      <w:r>
        <w:t xml:space="preserve">programmgesteuerten oder in sonstiger Weise vollautomatisierten Gerät</w:t>
      </w:r>
    </w:p>
    <w:p>
      <w:r>
        <w:t xml:space="preserve">(Spielautomaten) gespielt werden, das nach Herstellung der Betriebsbereitschaft</w:t>
      </w:r>
    </w:p>
    <w:p>
      <w:r>
        <w:t xml:space="preserve">allein vom Spieler selbst in Gang gesetzt und bedient wird.</w:t>
      </w:r>
    </w:p>
    <w:p>
      <w:r>
        <w:t xml:space="preserve">(4) Spiele des</w:t>
      </w:r>
    </w:p>
    <w:p>
      <w:r>
        <w:t xml:space="preserve">Klassischen Spiels müssen durch vorher festgelegte Spielregeln bestimmt sein.</w:t>
      </w:r>
    </w:p>
    <w:p>
      <w:r>
        <w:t xml:space="preserve">Der Spielbankunternehmer hat die Spielregeln in Einklang mit den Zielen nach § 1</w:t>
      </w:r>
    </w:p>
    <w:p>
      <w:r>
        <w:t xml:space="preserve">Absatz 1 des Spielbankgesetzes und in Übereinstimmung mit den die Spieltypen</w:t>
      </w:r>
    </w:p>
    <w:p>
      <w:r>
        <w:t xml:space="preserve">prägenden und international allgemein üblichen Standards umfassend und</w:t>
      </w:r>
    </w:p>
    <w:p>
      <w:r>
        <w:t xml:space="preserve">transparent schriftlich oder elektronisch festzulegen.</w:t>
      </w:r>
    </w:p>
    <w:p>
      <w:r>
        <w:t xml:space="preserve">(5)</w:t>
      </w:r>
    </w:p>
    <w:p>
      <w:r>
        <w:t xml:space="preserve">Automatenspiele und die Bedienung der Spielautomaten müssen bei einer</w:t>
      </w:r>
    </w:p>
    <w:p>
      <w:r>
        <w:t xml:space="preserve">Inbetriebnahme der Geräte umfassend und transparent schriftlich oder</w:t>
      </w:r>
    </w:p>
    <w:p>
      <w:r>
        <w:t xml:space="preserve">elektronisch beschrieben sein. Es kann auf sich selbst erklärende</w:t>
      </w:r>
    </w:p>
    <w:p>
      <w:r>
        <w:t xml:space="preserve">Programmabläufe verwiesen werden.</w:t>
      </w:r>
    </w:p>
    <w:p>
      <w:r>
        <w:rPr>
          <w:color w:val="555555"/>
          <w:sz w:val="17"/>
        </w:rPr>
        <w:t xml:space="preserve">Zitiervorschlag: § 3 SpielOV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https://recht.nulegal.eu/gesetze/SpielOV/3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