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SpielOV (Brandenburg) — Allgemeine Zutrittsvoraussetzungen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 den</w:t>
      </w:r>
    </w:p>
    <w:p>
      <w:r>
        <w:t xml:space="preserve">Spielbanken wird der Zutritt nicht gewährt:</w:t>
      </w:r>
    </w:p>
    <w:p>
      <w:r>
        <w:t xml:space="preserve">Personen, die</w:t>
      </w:r>
    </w:p>
    <w:p>
      <w:r>
        <w:t xml:space="preserve">gemäß § 1 Nummer 1 bis 4 am Spiel nicht teilnehmen dürfen,</w:t>
      </w:r>
    </w:p>
    <w:p>
      <w:r>
        <w:t xml:space="preserve">Personen, die</w:t>
      </w:r>
    </w:p>
    <w:p>
      <w:r>
        <w:t xml:space="preserve">sich auf Verlangen des Spielbankpersonals nicht ausweisen oder bei denen aus</w:t>
      </w:r>
    </w:p>
    <w:p>
      <w:r>
        <w:t xml:space="preserve">anderen Gründen eine den Anforderungen des Absatzes 2 entsprechende Feststellung</w:t>
      </w:r>
    </w:p>
    <w:p>
      <w:r>
        <w:t xml:space="preserve">zu den Teilnahmeverboten nach § 1 Nummer 1 bis 3 nicht getroffen werden kann,</w:t>
      </w:r>
    </w:p>
    <w:p>
      <w:r>
        <w:t xml:space="preserve">Personen,</w:t>
      </w:r>
    </w:p>
    <w:p>
      <w:r>
        <w:t xml:space="preserve">deren Verhalten den Verdacht rechtfertigt, dass sie durch Alkohol oder andere</w:t>
      </w:r>
    </w:p>
    <w:p>
      <w:r>
        <w:t xml:space="preserve">Rauschmittel in ihrer Steuerungsfähigkeit nicht nur unerheblich beeinträchtigt</w:t>
      </w:r>
    </w:p>
    <w:p>
      <w:r>
        <w:t xml:space="preserve">sind.</w:t>
      </w:r>
    </w:p>
    <w:p>
      <w:r>
        <w:t xml:space="preserve">(2) Bevor</w:t>
      </w:r>
    </w:p>
    <w:p>
      <w:r>
        <w:t xml:space="preserve">Zutritt zu den Spielbanken gewährt wird, muss das dafür zuständige</w:t>
      </w:r>
    </w:p>
    <w:p>
      <w:r>
        <w:t xml:space="preserve">Spielbankpersonal fallweise auf der Grundlage eines gültigen Ausweises oder</w:t>
      </w:r>
    </w:p>
    <w:p>
      <w:r>
        <w:t xml:space="preserve">einer vergleichbaren Identitätskontrolle überprüft und festgestellt haben, dass</w:t>
      </w:r>
    </w:p>
    <w:p>
      <w:r>
        <w:t xml:space="preserve">ein Teilnahmeverbot nach § 1 Nummer 1 bis 3 nicht besteht. Die Kenntnis des</w:t>
      </w:r>
    </w:p>
    <w:p>
      <w:r>
        <w:t xml:space="preserve">zuständigen Spielbankpersonals von den dazu erforderlichen Daten steht einer</w:t>
      </w:r>
    </w:p>
    <w:p>
      <w:r>
        <w:t xml:space="preserve">Ausweiskontrolle gleich. Ausweise müssen mindestens den Namen und das</w:t>
      </w:r>
    </w:p>
    <w:p>
      <w:r>
        <w:t xml:space="preserve">Geburtsdatum sowie ein Lichtbild oder ein anderes biometrisches Kennzeichen der</w:t>
      </w:r>
    </w:p>
    <w:p>
      <w:r>
        <w:t xml:space="preserve">Person enthalten, für das Spielbankpersonal lesbar und von einer Behörde</w:t>
      </w:r>
    </w:p>
    <w:p>
      <w:r>
        <w:t xml:space="preserve">ausgestellt sein oder eine vergleichbare Gewähr für ihre Richtigkeit bieten.</w:t>
      </w:r>
    </w:p>
    <w:p>
      <w:r>
        <w:t xml:space="preserve">Andere Ausweise als ein Personalausweis, ein anerkannter Pass oder Passersatz,</w:t>
      </w:r>
    </w:p>
    <w:p>
      <w:r>
        <w:t xml:space="preserve">ein Ausweisersatz nach § 48 Absatz 2 des Aufenthaltsgesetzes oder ein in einer</w:t>
      </w:r>
    </w:p>
    <w:p>
      <w:r>
        <w:t xml:space="preserve">Rechtsverordnung nach § 4 Absatz 4 Satz 2 des Geldwäschegesetzes bestimmtes</w:t>
      </w:r>
    </w:p>
    <w:p>
      <w:r>
        <w:t xml:space="preserve">Dokument sind vom Spielbank-personal im Zweifel zurückzuweisen. Die Bestimmungen</w:t>
      </w:r>
    </w:p>
    <w:p>
      <w:r>
        <w:t xml:space="preserve">des Geldwäschegesetzes über die Durchführung einer nach seinen Vorschriften</w:t>
      </w:r>
    </w:p>
    <w:p>
      <w:r>
        <w:t xml:space="preserve">bestehenden Identifizierungspflicht bleiben unberührt.</w:t>
      </w:r>
    </w:p>
    <w:p>
      <w:r>
        <w:rPr>
          <w:color w:val="555555"/>
          <w:sz w:val="17"/>
        </w:rPr>
        <w:t xml:space="preserve">Zitiervorschlag: § 2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