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SpielOV (Brandenburg) — Teilnahme am Glücksspiel</w:t>
      </w:r>
    </w:p>
    <w:p>
      <w:r>
        <w:rPr>
          <w:color w:val="555555"/>
          <w:sz w:val="18"/>
        </w:rPr>
        <w:t xml:space="preserve">Spielordnungsverordnung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Der</w:t>
      </w:r>
    </w:p>
    <w:p>
      <w:r>
        <w:t xml:space="preserve">Spielbankunternehmer darf am Glücksspiel in den Spielbanken nicht teilnehmen</w:t>
      </w:r>
    </w:p>
    <w:p>
      <w:r>
        <w:t xml:space="preserve">lassen:</w:t>
      </w:r>
    </w:p>
    <w:p>
      <w:r>
        <w:t xml:space="preserve">Personen unter</w:t>
      </w:r>
    </w:p>
    <w:p>
      <w:r>
        <w:t xml:space="preserve">18 Jahren,</w:t>
      </w:r>
    </w:p>
    <w:p>
      <w:r>
        <w:t xml:space="preserve">Personen, die</w:t>
      </w:r>
    </w:p>
    <w:p>
      <w:r>
        <w:t xml:space="preserve">nach Maßgabe der Sperrdatei (§ 9 des Lotterie- und Sportwettengesetzes) gesperrt</w:t>
      </w:r>
    </w:p>
    <w:p>
      <w:r>
        <w:t xml:space="preserve">sind,</w:t>
      </w:r>
    </w:p>
    <w:p>
      <w:r>
        <w:t xml:space="preserve">Personen, die</w:t>
      </w:r>
    </w:p>
    <w:p>
      <w:r>
        <w:t xml:space="preserve">beim Spielbankunternehmer eine Selbstsperre beantragt haben oder die vom</w:t>
      </w:r>
    </w:p>
    <w:p>
      <w:r>
        <w:t xml:space="preserve">Spielbankunternehmer gesperrt sind, auch dann, wenn die Sperre nicht in der</w:t>
      </w:r>
    </w:p>
    <w:p>
      <w:r>
        <w:t xml:space="preserve">Sperrdatei eingetragen ist,</w:t>
      </w:r>
    </w:p>
    <w:p>
      <w:r>
        <w:t xml:space="preserve">Personen, bei</w:t>
      </w:r>
    </w:p>
    <w:p>
      <w:r>
        <w:t xml:space="preserve">denen Anlass besteht zu prüfen, ob sie zu sperren sind, und die dem</w:t>
      </w:r>
    </w:p>
    <w:p>
      <w:r>
        <w:t xml:space="preserve">Spielbankunternehmer dazu erforderliche Angaben über ihre persönlichen oder</w:t>
      </w:r>
    </w:p>
    <w:p>
      <w:r>
        <w:t xml:space="preserve">sachlichen Verhältnisse verweigern,</w:t>
      </w:r>
    </w:p>
    <w:p>
      <w:r>
        <w:t xml:space="preserve">Personen, die</w:t>
      </w:r>
    </w:p>
    <w:p>
      <w:r>
        <w:t xml:space="preserve">Mitglied eines Organs oder Arbeitnehmer des Spielbankunternehmens oder eines das</w:t>
      </w:r>
    </w:p>
    <w:p>
      <w:r>
        <w:t xml:space="preserve">Spielbankunternehmen unmittelbar oder mittelbar beherrschenden privatrechtlichen</w:t>
      </w:r>
    </w:p>
    <w:p>
      <w:r>
        <w:t xml:space="preserve">Unternehmens sind oder innerhalb der zurückliegenden sechs Monate waren.</w:t>
      </w:r>
    </w:p>
    <w:p>
      <w:r>
        <w:rPr>
          <w:color w:val="555555"/>
          <w:sz w:val="17"/>
        </w:rPr>
        <w:t xml:space="preserve">Zitiervorschlag: § 1 SpielOV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https://recht.nulegal.eu/gesetze/SpielOV/1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