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SpedKfmAusbV 2004 — Ausbildungsrahmenplan</w:t>
      </w:r>
    </w:p>
    <w:p>
      <w:r>
        <w:rPr>
          <w:color w:val="555555"/>
          <w:sz w:val="18"/>
        </w:rPr>
        <w:t xml:space="preserve">Verordnung über die Berufsausbildung zum Kaufmann für Spedition und Logistikdienstleistung/zur Kauffrau für Spedition und Logistikdienstleistung</w:t>
      </w:r>
    </w:p>
    <w:p>
      <w:r>
        <w:rPr>
          <w:color w:val="555555"/>
          <w:sz w:val="18"/>
        </w:rPr>
        <w:t xml:space="preserve">Stand: 10.06.2019 (konsolidierte Textfassung, kein amtliches Inkrafttretensdatum)</w:t>
      </w:r>
    </w:p>
    <w:p>
      <w:r>
        <w:t xml:space="preserve">Die Fertigkeiten und Kenntnisse nach § 4 sollen nach den in den Anlagen 1 und 2 enthaltenen Anleitungen zur sachlichen und zeitlichen Gliederung der Berufsausbildung (Ausbildungsrahmenplan) vermittelt werden. Eine von dem Ausbildungsrahmenplan abweichende sachliche und zeitliche Gliederung des Ausbildungsinhaltes ist insbesondere zulässig, soweit eine berufsfeldbezogene Grundbildung vorausgegangen ist oder betriebspraktische Besonderheiten die Abweichung erfordern.</w:t>
      </w:r>
    </w:p>
    <w:p>
      <w:r>
        <w:rPr>
          <w:color w:val="555555"/>
          <w:sz w:val="17"/>
        </w:rPr>
        <w:t xml:space="preserve">Zitiervorschlag: § 5 SpedKfmAusbV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https://recht.nulegal.eu/gesetze/SpedKfmAusbV%202004/5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