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SparkGiroVerbG</w:t>
      </w:r>
    </w:p>
    <w:p>
      <w:r>
        <w:rPr>
          <w:color w:val="555555"/>
          <w:sz w:val="18"/>
        </w:rPr>
        <w:t xml:space="preserve">Gesetz über den Deutschen Sparkassen- und Giroverband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Reichsregierung hat das folgende Gesetz beschlossen, das hiermit verkündet wird:</w:t>
      </w:r>
    </w:p>
    <w:p>
      <w:r>
        <w:rPr>
          <w:color w:val="555555"/>
          <w:sz w:val="17"/>
        </w:rPr>
        <w:t xml:space="preserve">Zitiervorschlag: Eingangsformel SparkGiroVerbG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https://recht.nulegal.eu/gesetze/SparkGiroVerbG/eingangsformel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