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SparkGiroVerbG</w:t>
      </w:r>
    </w:p>
    <w:p>
      <w:r>
        <w:rPr>
          <w:color w:val="555555"/>
          <w:sz w:val="18"/>
        </w:rPr>
        <w:t xml:space="preserve">Gesetz über den Deutschen Sparkassen- und Giroverband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Verband steht unter Aufsicht der Reichsregierung.</w:t>
      </w:r>
    </w:p>
    <w:p>
      <w:r>
        <w:t xml:space="preserve">(2) Die näheren Bestimmungen über die Organisation und Verwaltung des Verbandes trifft die Satzung. Änderungen der Satzung bedürfen der Genehmigung der Reichsregierung.</w:t>
      </w:r>
    </w:p>
    <w:p>
      <w:r>
        <w:rPr>
          <w:color w:val="555555"/>
          <w:sz w:val="17"/>
        </w:rPr>
        <w:t xml:space="preserve">Zitiervorschlag: § 3 SparkGiroVerbG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https://recht.nulegal.eu/gesetze/SparkGiroVerbG/3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