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SparSichSaarG — Antragsverfahren in besonderen Fällen</w:t>
      </w:r>
    </w:p>
    <w:p>
      <w:r>
        <w:rPr>
          <w:color w:val="555555"/>
          <w:sz w:val="18"/>
        </w:rPr>
        <w:t xml:space="preserve">Gesetz zur Sicherung von Ersparnissen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Institut nach § 7 Abs. 1 nicht bestimmt worden, so findet § 8 mit der Maßgabe entsprechende Anwendung, daß der Antrag bei der Oberfinanzdirektion Saarbrücken zu stellen ist.</w:t>
      </w:r>
    </w:p>
    <w:p>
      <w:r>
        <w:rPr>
          <w:color w:val="555555"/>
          <w:sz w:val="17"/>
        </w:rPr>
        <w:t xml:space="preserve">Zitiervorschlag: § 9 SparSichSaarG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https://recht.nulegal.eu/gesetze/SparSichSaarG/9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