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pPr>
        <w:pStyle w:val="Heading1"/>
      </w:pPr>
      <w:r>
        <w:t xml:space="preserve">§ 21 SparSichSaarG — Gebühren und Auslagen</w:t>
      </w:r>
    </w:p>
    <w:p>
      <w:r>
        <w:rPr>
          <w:color w:val="555555"/>
          <w:sz w:val="18"/>
        </w:rPr>
        <w:t xml:space="preserve">Gesetz zur Sicherung von Ersparnissen im Saarland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Gebühren und Auslagen für das Verfahren bei den Instituten und bei der Oberfinanzdirektion Saarbrücken werden nicht erhoben.</w:t>
      </w:r>
    </w:p>
    <w:p>
      <w:r>
        <w:rPr>
          <w:color w:val="555555"/>
          <w:sz w:val="17"/>
        </w:rPr>
        <w:t xml:space="preserve">Zitiervorschlag: § 21 SparSichSaarG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https://recht.nulegal.eu/gesetze/SparSichSaarG/21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