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SparSichSaarG — Zuteilung des Anspruchs auf Deckung in Antragsfällen</w:t>
      </w:r>
    </w:p>
    <w:p>
      <w:r>
        <w:rPr>
          <w:color w:val="555555"/>
          <w:sz w:val="18"/>
        </w:rPr>
        <w:t xml:space="preserve">Gesetz zur Sicherung von Ersparnissen im Saarland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In den Fällen des § 8 Abs. 7 sind Anträge auf Zuteilung der Deckung an die Oberfinanzdirektion Saarbrücken zu richten. § 19 Abs. 2 bis 4 gilt entsprechend.</w:t>
      </w:r>
    </w:p>
    <w:p>
      <w:r>
        <w:rPr>
          <w:color w:val="555555"/>
          <w:sz w:val="17"/>
        </w:rPr>
        <w:t xml:space="preserve">Zitiervorschlag: § 20 SparSichSaarG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https://recht.nulegal.eu/gesetze/SparSichSaarG/20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