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SparSichSaarG — Erfüllung bei Ansprüchen aus Wertpapieren</w:t>
      </w:r>
    </w:p>
    <w:p>
      <w:r>
        <w:rPr>
          <w:color w:val="555555"/>
          <w:sz w:val="18"/>
        </w:rPr>
        <w:t xml:space="preserve">Gesetz zur Sicherung von Ersparnissen im Saarland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in den Fällen des § 1 Abs. 1 Nr. 5 der Anspruch auf Leistung gegen den Bund durch das Institut oder nach § 8 Abs. 7 durch die Oberfinanzdirektion Saarbrücken festgestellt, so gilt § 12 Abs. 1 entsprechend mit der Maßgabe, daß die Gutschrift auf einem Konto in laufender Rechnung erfolgt.</w:t>
      </w:r>
    </w:p>
    <w:p>
      <w:r>
        <w:t xml:space="preserve">(2) Ist in den Fällen des § 1 Abs. 1 Nr. 5 der Anspruch auf Leistung gegen den Bund durch die Oberfinanzdirektion Saarbrücken nach § 9 festgestellt worden, so erfüllt ihn die Oberfinanzdirektion Saarbrücken durch Barzahlung.</w:t>
      </w:r>
    </w:p>
    <w:p>
      <w:r>
        <w:rPr>
          <w:color w:val="555555"/>
          <w:sz w:val="17"/>
        </w:rPr>
        <w:t xml:space="preserve">Zitiervorschlag: § 16 SparSichSaarG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https://recht.nulegal.eu/gesetze/SparSichSaarG/16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