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SpaEfV</w:t>
      </w:r>
    </w:p>
    <w:p>
      <w:r>
        <w:rPr>
          <w:color w:val="555555"/>
          <w:sz w:val="18"/>
        </w:rPr>
        <w:t xml:space="preserve">Spitzenausgleich-Effizienzsystemverordnung</w:t>
      </w:r>
    </w:p>
    <w:p>
      <w:r>
        <w:rPr>
          <w:color w:val="555555"/>
          <w:sz w:val="18"/>
        </w:rPr>
        <w:t xml:space="preserve">Historische Fassung: Stand 10.06.2019 bis 23.01.2026. Dies ist nicht die aktuelle Fassung.</w:t>
      </w:r>
    </w:p>
    <w:p>
      <w:r>
        <w:t xml:space="preserve">Auf Grund</w:t>
      </w:r>
    </w:p>
    <w:p>
      <w:pPr>
        <w:ind w:left="420"/>
      </w:pPr>
      <w:r>
        <w:t xml:space="preserve">– des § 66b Absatz 1, 2 Nummer 1, 2, 4 und Absatz 3 des Energiesteuergesetzes, der durch Artikel 1 Nummer 18 des Gesetzes vom 5. Dezember 2012 (BGBl. I S. 2436) eingeführt worden ist, sowie</w:t>
      </w:r>
    </w:p>
    <w:p>
      <w:pPr>
        <w:ind w:left="420"/>
      </w:pPr>
      <w:r>
        <w:t xml:space="preserve">– des § 12 Absatz 1, 2 Nummer 1, 2, 4 und Absatz 3 des Stromsteuergesetzes, der durch Artikel 2 Nummer 2 des Gesetzes vom 5. Dezember 2012 (BGBl. I S. 2436) eingeführt worden ist,</w:t>
      </w:r>
    </w:p>
    <w:p>
      <w:r>
        <w:t xml:space="preserve">verordnet das Bundesministerium für Wirtschaft und Technologie im Einvernehmen mit dem Bundesministerium der Finanzen und dem Bundesministerium für Umwelt, Naturschutz und Reaktorsicherheit:</w:t>
      </w:r>
    </w:p>
    <w:p>
      <w:r>
        <w:rPr>
          <w:color w:val="555555"/>
          <w:sz w:val="17"/>
        </w:rPr>
        <w:t xml:space="preserve">Zitiervorschlag: Eingangsformel SpaEfV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https://recht.nulegal.eu/gesetze/SpaEfV/eingangsformel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