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SpaEfV — Ordnungswidrigkeiten</w:t>
      </w:r>
    </w:p>
    <w:p>
      <w:r>
        <w:rPr>
          <w:color w:val="555555"/>
          <w:sz w:val="18"/>
        </w:rPr>
        <w:t xml:space="preserve">Spitzenausgleich-Effizienzsystemverordnung</w:t>
      </w:r>
    </w:p>
    <w:p>
      <w:r>
        <w:rPr>
          <w:color w:val="555555"/>
          <w:sz w:val="18"/>
        </w:rPr>
        <w:t xml:space="preserve">Historische Fassung: Stand 10.06.2019 bis 23.01.2026. Dies ist nicht die aktuelle Fassung.</w:t>
      </w:r>
    </w:p>
    <w:p>
      <w:r>
        <w:t xml:space="preserve">Ordnungswidrig im Sinne des § 381 Absatz 1 Nummer 1 der Abgabenordnung handelt, wer vorsätzlich oder leichtfertig entgegen § 4 Absatz 6 Satz 1 oder § 5 Absatz 5 Satz 1 einen dort genannten Nachweis nicht richtig ausstellt oder nicht richtig bestätigt.</w:t>
      </w:r>
    </w:p>
    <w:p>
      <w:r>
        <w:rPr>
          <w:color w:val="555555"/>
          <w:sz w:val="17"/>
        </w:rPr>
        <w:t xml:space="preserve">Zitiervorschlag: § 9 SpaEfV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https://recht.nulegal.eu/gesetze/SpaEfV/9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