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SpaEfV — Berichtspflicht der zuständigen Stelle</w:t>
      </w:r>
    </w:p>
    <w:p>
      <w:r>
        <w:rPr>
          <w:color w:val="555555"/>
          <w:sz w:val="18"/>
        </w:rPr>
        <w:t xml:space="preserve">Spitzenausgleich-Effizienzsystemverordnung</w:t>
      </w:r>
    </w:p>
    <w:p>
      <w:r>
        <w:rPr>
          <w:color w:val="555555"/>
          <w:sz w:val="18"/>
        </w:rPr>
        <w:t xml:space="preserve">Historische Fassung: Stand 27.06.2020 bis 23.01.2026. Dies ist nicht die aktuelle Fassung.</w:t>
      </w:r>
    </w:p>
    <w:p>
      <w:r>
        <w:t xml:space="preserve">Die zuständige Stelle legt dem Bundesministerium für Wirtschaft und Energie, dem Bundesministerium für Umwelt, Naturschutz und nukleare Sicherheit sowie dem Bundesministerium der Finanzen jeweils jährlich einen Bericht über die nach § 6 Absatz 1 und 2 durchgeführten Überwachungs- und Kontrollmaßnahmen vor. Der Berichtspflicht kann nachgekommen werden im Rahmen</w:t>
      </w:r>
    </w:p>
    <w:p>
      <w:pPr>
        <w:ind w:left="420"/>
      </w:pPr>
      <w:r>
        <w:t xml:space="preserve">1. des Berichts nach § 21 Absatz 2 des Umweltauditgesetzes durch die Stelle nach § 6 Absatz 1 Satz 2 Nummer 1 an die in Satz 1 genannten Ministerien sowie</w:t>
      </w:r>
    </w:p>
    <w:p>
      <w:pPr>
        <w:ind w:left="420"/>
      </w:pPr>
      <w:r>
        <w:t xml:space="preserve">2. des Berichts nach § 3 der AkkStelleG-Beleihungsverordnung vom 21. Dezember 2009 (BGBl. I S. 3962) in der jeweils geltenden Fassung durch die Stelle nach § 6 Absatz 1 Satz 2 Nummer 2 an die in Satz 1 genannten Ministerien.</w:t>
      </w:r>
    </w:p>
    <w:p>
      <w:r>
        <w:t xml:space="preserve">§ 9 des Akkreditierungsstellengesetzes und § 29 des Umweltauditgesetzes bleiben unberührt.</w:t>
      </w:r>
    </w:p>
    <w:p>
      <w:r>
        <w:rPr>
          <w:color w:val="555555"/>
          <w:sz w:val="17"/>
        </w:rPr>
        <w:t xml:space="preserve">Zitiervorschlag: § 8 SpaEfV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https://recht.nulegal.eu/gesetze/SpaEfV/8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