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SpaEfV — Datenübermittlung</w:t>
      </w:r>
    </w:p>
    <w:p>
      <w:r>
        <w:rPr>
          <w:color w:val="555555"/>
          <w:sz w:val="18"/>
        </w:rPr>
        <w:t xml:space="preserve">Spitzenausgleich-Effizienzsystemverordnung</w:t>
      </w:r>
    </w:p>
    <w:p>
      <w:r>
        <w:rPr>
          <w:color w:val="555555"/>
          <w:sz w:val="18"/>
        </w:rPr>
        <w:t xml:space="preserve">Historische Fassung: Stand 10.06.2019 bis 23.01.2026. Dies ist nicht die aktuelle Fassung.</w:t>
      </w:r>
    </w:p>
    <w:p>
      <w:r>
        <w:t xml:space="preserve">(1) Soweit dies für die Kontrolle und Überwachung der im Bereich der Durchführung dieser Verordnung tätigen Umweltgutachter und Umweltgutachterorganisationen oder Konformitätsbewertungsstellen erforderlich ist, darf die zuständige Stelle nach § 6 Absatz 1 Satz 2 folgende Daten an die Bundesfinanzbehörden übermitteln:</w:t>
      </w:r>
    </w:p>
    <w:p>
      <w:pPr>
        <w:ind w:left="420"/>
      </w:pPr>
      <w:r>
        <w:t xml:space="preserve">1. Erkenntnisse oder Informationen über Zulassungs- und Aufsichtsmaßnahmen, die die Stelle nach § 6 Absatz 1 Satz 2 Nummer 1 ergriffen hat und die sich auf die Gültigkeit von Testaten eines Umweltgutachters oder einer Umweltgutachterorganisation auswirken können,</w:t>
      </w:r>
    </w:p>
    <w:p>
      <w:pPr>
        <w:ind w:left="420"/>
      </w:pPr>
      <w:r>
        <w:t xml:space="preserve">2. Erkenntnisse oder Informationen über Akkreditierungstätigkeiten sowie Maßnahmen, die die Stelle nach § 6 Absatz 1 Satz 2 Nummer 2 ergriffen hat und die sich auf die Gültigkeit von Testaten einer Konformitätsbewertungsstelle auswirken können.</w:t>
      </w:r>
    </w:p>
    <w:p>
      <w:r>
        <w:t xml:space="preserve">(2) Die in Absatz 1 aufgeführten Daten werden übermittelt, um den Hauptzollämtern die Prüfung der Gültigkeit eines Testates zu ermöglichen, das von einer Stelle nach § 55 Absatz 8 des Energiesteuergesetzes oder § 10 Absatz 7 des Stromsteuergesetzes ausgestellt worden ist.</w:t>
      </w:r>
    </w:p>
    <w:p>
      <w:r>
        <w:t xml:space="preserve">(3) Die in Absatz 1 aufgeführten Daten dürfen nur für den in Absatz 2 genannten Zweck verwendet werden. Unternehmensdaten sind nur insoweit zu übermitteln, als es erforderlich ist, um die übermittelten Informationen einem zu überprüfenden Testat oder einem Steuerverfahren zuzuordnen.</w:t>
      </w:r>
    </w:p>
    <w:p>
      <w:r>
        <w:t xml:space="preserve">(4) Die bei den Bundesfinanzbehörden gespeicherten Daten sind zu löschen, wenn sie zur Erfüllung der Aufgaben im Steuerverfahren nicht mehr erforderlich sind, spätestens jedoch nach Ablauf der Festsetzungsfrist nach § 169 der Abgabenordnung.</w:t>
      </w:r>
    </w:p>
    <w:p>
      <w:r>
        <w:rPr>
          <w:color w:val="555555"/>
          <w:sz w:val="17"/>
        </w:rPr>
        <w:t xml:space="preserve">Zitiervorschlag: § 7 SpaEfV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https://recht.nulegal.eu/gesetze/SpaEfV/7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