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SpaEfV — Überwachung und Kontrolle</w:t>
      </w:r>
    </w:p>
    <w:p>
      <w:r>
        <w:rPr>
          <w:color w:val="555555"/>
          <w:sz w:val="18"/>
        </w:rPr>
        <w:t xml:space="preserve">Spitzenausgleich-Effizienzsystemverordnung</w:t>
      </w:r>
    </w:p>
    <w:p>
      <w:r>
        <w:rPr>
          <w:color w:val="555555"/>
          <w:sz w:val="18"/>
        </w:rPr>
        <w:t xml:space="preserve">Historische Fassung: Stand 10.06.2019 bis 23.01.2026. Dies ist nicht die aktuelle Fassung.</w:t>
      </w:r>
    </w:p>
    <w:p>
      <w:r>
        <w:t xml:space="preserve">(1) Die Tätigkeit der Umweltgutachter und Umweltgutachterorganisationen oder der Konformitätsbewertungsstellen wird im Rahmen dieser Verordnung von der zuständigen Stelle überwacht und kontrolliert. Zuständige Stelle im Sinne dieser Verordnung ist</w:t>
      </w:r>
    </w:p>
    <w:p>
      <w:pPr>
        <w:ind w:left="420"/>
      </w:pPr>
      <w:r>
        <w:t xml:space="preserve">1. die in § 1b Absatz 8 der Energiesteuer-Durchführungsverordnung und § 18 Absatz 3 der Stromsteuer-Durchführungsverordnung genannte Stelle für die Überwachung der Umweltgutachter und Umweltgutachterorganisationen sowie</w:t>
      </w:r>
    </w:p>
    <w:p>
      <w:pPr>
        <w:ind w:left="420"/>
      </w:pPr>
      <w:r>
        <w:t xml:space="preserve">2. die in § 1b Absatz 7 Nummer 1 der Energiesteuer-Durchführungsverordnung und § 18 Absatz 2 Nummer 1 der Stromsteuer-Durchführungsverordnung genannte Stelle für die Überwachung der von ihr akkreditierten Konformitätsbewertungsstellen.</w:t>
      </w:r>
    </w:p>
    <w:p>
      <w:r>
        <w:t xml:space="preserve">(2) Die zuständige Stelle hat im Rahmen der Überwachung und Kontrolle insbesondere die erforderlichen Anordnungen zu treffen, um festgestellte Mängel zu beseitigen und künftige Mängel zu verhüten, sowie die erforderlichen Prüfungen und Kontrollen vor Ort durchzuführen. Soweit dies für die Erfüllung der Aufgaben nach Absatz 1 erforderlich ist, sind die Bediensteten und sonstigen Beauftragten der zuständigen Stelle befugt,</w:t>
      </w:r>
    </w:p>
    <w:p>
      <w:pPr>
        <w:ind w:left="420"/>
      </w:pPr>
      <w:r>
        <w:t xml:space="preserve">1. zu den Betriebs- und Geschäftszeiten Betriebsstätten, Geschäfts- und Betriebsräume sowie Transportmittel sowohl von Umweltgutachtern und Umweltgutachterorganisationen oder Konformitätsbewertungsstellen als auch von Unternehmen, denen ein Nachweis nach § 4 oder § 5 ausgestellt oder bestätigt wurde oder werden soll, zu betreten,</w:t>
      </w:r>
    </w:p>
    <w:p>
      <w:pPr>
        <w:ind w:left="420"/>
      </w:pPr>
      <w:r>
        <w:t xml:space="preserve">2. alle erforderlichen Geschäftsunterlagen sowohl bei Umweltgutachtern und Umweltgutachterorganisationen oder Konformitätsbewertungsstellen als auch bei Unternehmen, denen ein Nachweis nach § 4 oder § 5 ausgestellt oder bestätigt wurde oder werden soll, einzusehen, zu prüfen und hieraus Abschriften, Auszüge, Ausdrucke oder Kopien anzufertigen, und</w:t>
      </w:r>
    </w:p>
    <w:p>
      <w:pPr>
        <w:ind w:left="420"/>
      </w:pPr>
      <w:r>
        <w:t xml:space="preserve">3. die erforderlichen Auskünfte sowohl von Umweltgutachtern und Umweltgutachterorganisationen oder Konformitätsbewertungsstellen als auch von Unternehmen, denen ein Nachweis nach § 4 oder § 5 ausgestellt oder bestätigt wurde oder werden soll, zu verlangen.</w:t>
      </w:r>
    </w:p>
    <w:p>
      <w:r>
        <w:t xml:space="preserve">(3) Die Bundesfinanzbehörden können der zuständigen Stelle die erforderlichen Informationen übermitteln, die sie braucht, um die Aufgaben nach dieser Verordnung zu erfüllen.</w:t>
      </w:r>
    </w:p>
    <w:p>
      <w:r>
        <w:t xml:space="preserve">(4) Die Vorschriften des Umweltauditgesetzes und des Akkreditierungsstellengesetzes vom 31. Juli 2009 (BGBl. I S. 2625), das zuletzt durch Artikel 2 Absatz 80 des Gesetzes vom 22. Dezember 2012 (BGBl. I S. 3044) geändert worden ist, in der jeweils geltenden Fassung sowie der auf der Grundlage dieser Gesetze erlassenen Verordnungen bleiben unberührt.</w:t>
      </w:r>
    </w:p>
    <w:p>
      <w:r>
        <w:rPr>
          <w:color w:val="555555"/>
          <w:sz w:val="17"/>
        </w:rPr>
        <w:t xml:space="preserve">Zitiervorschlag: § 6 SpaEfV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https://recht.nulegal.eu/gesetze/SpaEfV/6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