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SpaEfV — Alternative Systeme zur Verbesserung der Energieeffizienz für kleine und mittlere Unternehmen</w:t>
      </w:r>
    </w:p>
    <w:p>
      <w:r>
        <w:rPr>
          <w:color w:val="555555"/>
          <w:sz w:val="18"/>
        </w:rPr>
        <w:t xml:space="preserve">Spitzenausgleich-Effizienzsystemverordnung</w:t>
      </w:r>
    </w:p>
    <w:p>
      <w:r>
        <w:rPr>
          <w:color w:val="555555"/>
          <w:sz w:val="18"/>
        </w:rPr>
        <w:t xml:space="preserve">Historische Fassung: Stand 10.06.2019 bis 23.01.2026. Dies ist nicht die aktuelle Fassung.</w:t>
      </w:r>
    </w:p>
    <w:p>
      <w:r>
        <w:t xml:space="preserve">Als alternative Systeme zur Verbesserung der Energieeffizienz für kleine und mittlere Unternehmen (§ 55 Absatz 4 Satz 2 des Energiesteuergesetzes und § 10 Absatz 3 Satz 2 des Stromsteuergesetzes) gelten folgende Systeme:</w:t>
      </w:r>
    </w:p>
    <w:p>
      <w:pPr>
        <w:ind w:left="420"/>
      </w:pPr>
      <w:r>
        <w:t xml:space="preserve">1. ein Energieaudit entsprechend den Anforderungen der DIN EN 16247-1, Ausgabe Oktober 2012, das mit einem Energieauditbericht gemäß der Anlage 1 dieser Verordnung abschließt, oder</w:t>
      </w:r>
    </w:p>
    <w:p>
      <w:pPr>
        <w:ind w:left="420"/>
      </w:pPr>
      <w:r>
        <w:t xml:space="preserve">2. ein alternatives System gemäß der Anlage 2 dieser Verordnung.</w:t>
      </w:r>
    </w:p>
    <w:p>
      <w:r>
        <w:rPr>
          <w:color w:val="555555"/>
          <w:sz w:val="17"/>
        </w:rPr>
        <w:t xml:space="preserve">Zitiervorschlag: § 3 SpaEfV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https://recht.nulegal.eu/gesetze/SpaEfV/3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