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SpaEfV — Zweck, Anwendungsbereich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10.06.2019 bis 23.01.2026. Dies ist nicht die aktuelle Fassung.</w:t>
      </w:r>
    </w:p>
    <w:p>
      <w:r>
        <w:t xml:space="preserve">Diese Verordnung regelt</w:t>
      </w:r>
    </w:p>
    <w:p>
      <w:pPr>
        <w:ind w:left="420"/>
      </w:pPr>
      <w:r>
        <w:t xml:space="preserve">1. Anforderungen an alternative Systeme zur Verbesserung der Energieeffizienz, die von kleinen und mittleren Unternehmen anstelle eines Energie- oder Umweltmanagementsystems betrieben werden können (§ 55 Absatz 4 Satz 2 des Energiesteuergesetzes sowie § 10 Absatz 3 Satz 2 des Stromsteuergesetzes),</w:t>
      </w:r>
    </w:p>
    <w:p>
      <w:pPr>
        <w:ind w:left="420"/>
      </w:pPr>
      <w:r>
        <w:t xml:space="preserve">2. Anforderungen an die Nachweisführung über den Beginn und den Abschluss der Einführung sowie den Betrieb</w:t>
      </w:r>
    </w:p>
    <w:p>
      <w:pPr>
        <w:ind w:left="780"/>
      </w:pPr>
      <w:r>
        <w:t xml:space="preserve">a) eines Energie- oder eines Umweltmanagementsystems nach § 55 Absatz 4 Satz 1 Nummer 1 Buchstabe a oder Buchstabe b des Energiesteuergesetzes und § 10 Absatz 3 Satz 1 Nummer 1 Buchstabe a oder Buchstabe b des Stromsteuergesetzes,</w:t>
      </w:r>
    </w:p>
    <w:p>
      <w:pPr>
        <w:ind w:left="780"/>
      </w:pPr>
      <w:r>
        <w:t xml:space="preserve">b) eines alternativen Systems zur Verbesserung der Energieeffizienz nach § 3 sowie</w:t>
      </w:r>
    </w:p>
    <w:p>
      <w:pPr>
        <w:ind w:left="420"/>
      </w:pPr>
      <w:r>
        <w:t xml:space="preserve">3. Vorgaben für die Nachweisführung durch die in § 55 Absatz 8 des Energiesteuergesetzes und in § 10 Absatz 7 des Stromsteuergesetzes genannten Stellen sowie deren Überwachung und Kontrolle.</w:t>
      </w:r>
    </w:p>
    <w:p>
      <w:r>
        <w:rPr>
          <w:color w:val="555555"/>
          <w:sz w:val="17"/>
        </w:rPr>
        <w:t xml:space="preserve">Zitiervorschlag: § 1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