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SpTrUG — Prüfung der Spaltung</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Im Falle des § 4 Abs. 1 haben ein oder mehrere unabhängige Sachverständige, die vom Vorstand der übertragenden Gesellschaft bestellt werden, den Spaltungsplan zu prüfen und einen schriftlichen Bericht zu erstellen. Der Prüfungsbericht ist mit einer Erklärung darüber abzuschließen, ob das vorgeschlagene Umtauschverhältnis der Aktien und gegebenenfalls die Höhe der baren Zuzahlung als Gegenwert angemessen ist. Dabei ist anzugeben,</w:t>
      </w:r>
    </w:p>
    <w:p>
      <w:pPr>
        <w:ind w:left="420"/>
      </w:pPr>
      <w:r>
        <w:t xml:space="preserve">1. nach welchen Methoden das vorgeschlagene Umtauschverhältnis ermittelt worden ist;</w:t>
      </w:r>
    </w:p>
    <w:p>
      <w:pPr>
        <w:ind w:left="420"/>
      </w:pPr>
      <w:r>
        <w:t xml:space="preserve">2. aus welchen Gründen die Anwendung dieser Methoden angemessen ist;</w:t>
      </w:r>
    </w:p>
    <w:p>
      <w:pPr>
        <w:ind w:left="420"/>
      </w:pPr>
      <w:r>
        <w:t xml:space="preserve">3. welches Umtauschverhältnis sich bei der Anwendung verschiedener Methoden, sofern mehrere angewandt worden sind, jeweils ergeben würde; zugleich ist darzulegen, welches Gewicht den verschiedenen Methoden bei der Bestimmung des vorgeschlagenen Umtauschverhältnisses oder des Gegenwerts und der ihnen zugrundeliegenden Werte beigemessen worden ist und welche besonderen Schwierigkeiten bei der Bewertung der Unternehmen aufgetreten sind.</w:t>
      </w:r>
    </w:p>
    <w:p>
      <w:r>
        <w:t xml:space="preserve">(2) § 4 Abs. 2 und 3 gilt entsprechend.</w:t>
      </w:r>
    </w:p>
    <w:p>
      <w:r>
        <w:rPr>
          <w:color w:val="555555"/>
          <w:sz w:val="17"/>
        </w:rPr>
        <w:t xml:space="preserve">Zitiervorschlag: § 5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