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SpStVO NRW (Nordrhein-Westfalen)</w:t>
      </w:r>
    </w:p>
    <w:p>
      <w:r>
        <w:rPr>
          <w:color w:val="555555"/>
          <w:sz w:val="18"/>
        </w:rPr>
        <w:t xml:space="preserve">Spielbankstandortverordnung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</w:t>
      </w:r>
    </w:p>
    <w:p>
      <w:r>
        <w:t xml:space="preserve">zur Bestimmung der Spielbankstandorte des Landes Nordrhein-Westfalen und zur</w:t>
      </w:r>
    </w:p>
    <w:p>
      <w:r>
        <w:t xml:space="preserve">Aufteilung der Spielbankabgabe (Spielbankstandortverordnung NRW - SpStVO NRW)</w:t>
      </w:r>
    </w:p>
    <w:p>
      <w:r>
        <w:t xml:space="preserve">Vom 18. November 2020</w:t>
      </w:r>
    </w:p>
    <w:p>
      <w:r>
        <w:t xml:space="preserve">(Artikel 5 der Verordnung vom 18. November 2020 (GV. NRW. S. 1056a))</w:t>
      </w:r>
    </w:p>
    <w:p>
      <w:r>
        <w:t xml:space="preserve">Auf Grund des § 2 Absatz 2 Satz 3 und des § 26 des Spielbankgesetzes NRW vom 29. Mai 2020 (GV. NRW. S. 363) verordnet das Ministerium des Innern im Einvernehmen mit dem Ministerium der Finanzen:</w:t>
      </w:r>
    </w:p>
    <w:p>
      <w:r>
        <w:rPr>
          <w:color w:val="555555"/>
          <w:sz w:val="17"/>
        </w:rPr>
        <w:t xml:space="preserve">Zitiervorschlag: Volltext SpStVO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https://recht.nulegal.eu/gesetze/SpStVO%20NRW/volltext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SpStVO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