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SpStVO NRW (Nordrhein-Westfalen) — Inkrafttreten</w:t>
      </w:r>
    </w:p>
    <w:p>
      <w:r>
        <w:rPr>
          <w:color w:val="555555"/>
          <w:sz w:val="18"/>
        </w:rPr>
        <w:t xml:space="preserve">Spielbankstandortverordnung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 des Innern</w:t>
      </w:r>
    </w:p>
    <w:p>
      <w:r>
        <w:t xml:space="preserve">Der Minister der Finanzen</w:t>
      </w:r>
    </w:p>
    <w:p>
      <w:r>
        <w:t xml:space="preserve">Der Minister für Arbeit, Gesundheit und Soziales</w:t>
      </w:r>
    </w:p>
    <w:p>
      <w:r>
        <w:rPr>
          <w:color w:val="555555"/>
          <w:sz w:val="17"/>
        </w:rPr>
        <w:t xml:space="preserve">Zitiervorschlag: § 3 SpStVO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https://recht.nulegal.eu/gesetze/SpStVO%20NRW/3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