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SpStVO NRW (Nordrhein-Westfalen) — Anteil der Spielbankgemeinden an der Spielbankabgabe</w:t>
      </w:r>
    </w:p>
    <w:p>
      <w:r>
        <w:rPr>
          <w:color w:val="555555"/>
          <w:sz w:val="18"/>
        </w:rPr>
        <w:t xml:space="preserve">Spielbankstandortverordnung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Anteil der Spielbankgemeinden an der Spielbankabgabe nach §§ 19 und 26 des Spielbankgesetzes NRW vom 29. Mai 2020 (GV. NRW. S. 363) in der jeweils geltenden Fassung beträgt je 12 Prozent der Bruttospielerträge.</w:t>
      </w:r>
    </w:p>
    <w:p>
      <w:r>
        <w:rPr>
          <w:color w:val="555555"/>
          <w:sz w:val="17"/>
        </w:rPr>
        <w:t xml:space="preserve">Zitiervorschlag: § 2 SpStVO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https://recht.nulegal.eu/gesetze/SpStVO%20NRW/2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