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SpStVO NRW (Nordrhein-Westfalen) — Spielbankstandorte</w:t>
      </w:r>
    </w:p>
    <w:p>
      <w:r>
        <w:rPr>
          <w:color w:val="555555"/>
          <w:sz w:val="18"/>
        </w:rPr>
        <w:t xml:space="preserve">Spielbankstandortverordnung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Standorte für den Betrieb der im Land Nordrhein-Westfalen zugelassenen öffentlichen Spielbanken werden bestimmt:</w:t>
      </w:r>
    </w:p>
    <w:p>
      <w:r>
        <w:t xml:space="preserve">1. die Stadt Bad Oeynhausen,</w:t>
      </w:r>
    </w:p>
    <w:p>
      <w:r>
        <w:t xml:space="preserve">2. die Stadt Dortmund,</w:t>
      </w:r>
    </w:p>
    <w:p>
      <w:r>
        <w:t xml:space="preserve">3. die Stadt Duisburg,</w:t>
      </w:r>
    </w:p>
    <w:p>
      <w:r>
        <w:t xml:space="preserve">4. die Stadt Aachen,</w:t>
      </w:r>
    </w:p>
    <w:p>
      <w:r>
        <w:t xml:space="preserve">5. die Stadt Monheim und</w:t>
      </w:r>
    </w:p>
    <w:p>
      <w:r>
        <w:t xml:space="preserve">6. die Stadt Siegburg.</w:t>
      </w:r>
    </w:p>
    <w:p>
      <w:r>
        <w:rPr>
          <w:color w:val="555555"/>
          <w:sz w:val="17"/>
        </w:rPr>
        <w:t xml:space="preserve">Zitiervorschlag: § 1 SpStVO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https://recht.nulegal.eu/gesetze/SpStVO%20NRW/1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