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1 SpFV — (zu Anlage 7) Niederschrift</w:t>
      </w:r>
    </w:p>
    <w:p>
      <w:r>
        <w:rPr>
          <w:color w:val="555555"/>
          <w:sz w:val="18"/>
        </w:rPr>
        <w:t xml:space="preserve">Sportbootführerscheinverordnung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(Fundstelle: BGBl. I 2022, 2222)</w:t>
      </w:r>
    </w:p>
    <w:p>
      <w:r>
        <w:t xml:space="preserve">Niederschrift</w:t>
      </w:r>
    </w:p>
    <w:p>
      <w:r>
        <w:t xml:space="preserve">über die Verpflichtungen zur gewissenhaften und unparteiischen Tätigkeit und zur Verschwiegenheit, auch im Sinne des § 83 Absatz 2 des Verwaltungsverfahrensgesetzes in der Fassung der Bekanntmachung vom 23. Januar 2003 (BGBl. I S. 102), und nach § 53 des Bundesdatenschutzgesetzes in der Fassung der Bekanntmachung vom 30. Juni 2017 (BGBl. I S. 2097) in Verbindung mit Artikel 32 Absatz 4 der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1), jeweils in geltender Fassung.</w:t>
      </w:r>
    </w:p>
    <w:p>
      <w:r>
        <w:t xml:space="preserve">I.</w:t>
      </w:r>
    </w:p>
    <w:p>
      <w:pPr>
        <w:ind w:left="420"/>
      </w:pPr>
      <w:r>
        <w:t xml:space="preserve">Herr/Frau «Titel» «Vorname» «Name»</w:t>
      </w:r>
    </w:p>
    <w:p>
      <w:pPr>
        <w:ind w:left="420"/>
      </w:pPr>
      <w:r>
        <w:t xml:space="preserve">geboren am «Geburtsdatum»</w:t>
      </w:r>
    </w:p>
    <w:p>
      <w:pPr>
        <w:ind w:left="420"/>
      </w:pPr>
      <w:r>
        <w:t xml:space="preserve">wohnhaft «Straße», «Ort»</w:t>
      </w:r>
    </w:p>
    <w:p>
      <w:r>
        <w:t xml:space="preserve">wurde heute im Rahmen der Tätigkeit als «Prüfer/-in» des Prüfungsausschusses «[…]» für die Sportschifffahrt gemäß § 9 Absatz 2 i. V. m. § 10 der Sportbootführerscheinverordnung (SpFV) vom 3. Mai 2017 (BGBl. I S. 1016) und den Durchführungsrichtlinien in den jeweils geltenden Fassungen verpflichtet, die Arbeit entsprechend untenstehender Gesetze/Vorschriften, Belehrungen und Vorgaben gewissenhaft und unparteiisch auszuüben und die gebotene Verschwiegenheit zu wahren.</w:t>
      </w:r>
    </w:p>
    <w:p>
      <w:r>
        <w:t xml:space="preserve">II.</w:t>
      </w:r>
    </w:p>
    <w:p>
      <w:r>
        <w:t xml:space="preserve">Es wurde auf folgende geltende Gesetze/Vorschriften jeweils in der geltenden Fassung hingewiesen:</w:t>
      </w:r>
    </w:p>
    <w:p>
      <w:r>
        <w:t xml:space="preserve">Strafgesetzbuch:</w:t>
      </w:r>
    </w:p>
    <w:p>
      <w:pPr>
        <w:ind w:left="420"/>
      </w:pPr>
      <w:r>
        <w:t xml:space="preserve">§ 133 Absatz 1, 3 – Verwahrungsbruch</w:t>
      </w:r>
    </w:p>
    <w:p>
      <w:pPr>
        <w:ind w:left="420"/>
      </w:pPr>
      <w:r>
        <w:t xml:space="preserve">§ 201 Absatz 3 – Verletzung der Vertraulichkeit des Wortes</w:t>
      </w:r>
    </w:p>
    <w:p>
      <w:pPr>
        <w:ind w:left="420"/>
      </w:pPr>
      <w:r>
        <w:t xml:space="preserve">§ 203 Absatz 2, 4, 5 – Verletzung von Privatgeheimnissen</w:t>
      </w:r>
    </w:p>
    <w:p>
      <w:pPr>
        <w:ind w:left="420"/>
      </w:pPr>
      <w:r>
        <w:t xml:space="preserve">§ 204 – Verwertung fremder Geheimnisse</w:t>
      </w:r>
    </w:p>
    <w:p>
      <w:pPr>
        <w:ind w:left="420"/>
      </w:pPr>
      <w:r>
        <w:t xml:space="preserve">§ 331 – Vorteilsannahme</w:t>
      </w:r>
    </w:p>
    <w:p>
      <w:pPr>
        <w:ind w:left="420"/>
      </w:pPr>
      <w:r>
        <w:t xml:space="preserve">§ 332 – Bestechlichkeit</w:t>
      </w:r>
    </w:p>
    <w:p>
      <w:pPr>
        <w:ind w:left="420"/>
      </w:pPr>
      <w:r>
        <w:t xml:space="preserve">§ 353b – Verletzung des Dienstgeheimnisses und einer besonderen Geheimhaltungspflicht</w:t>
      </w:r>
    </w:p>
    <w:p>
      <w:pPr>
        <w:ind w:left="420"/>
      </w:pPr>
      <w:r>
        <w:t xml:space="preserve">§ 355 – Verletzung des Steuergeheimnisses</w:t>
      </w:r>
    </w:p>
    <w:p>
      <w:pPr>
        <w:ind w:left="420"/>
      </w:pPr>
      <w:r>
        <w:t xml:space="preserve">§ 358 – Nebenfolgen</w:t>
      </w:r>
    </w:p>
    <w:p>
      <w:r>
        <w:t xml:space="preserve">Abgabenordnung:</w:t>
      </w:r>
    </w:p>
    <w:p>
      <w:pPr>
        <w:ind w:left="420"/>
      </w:pPr>
      <w:r>
        <w:t xml:space="preserve">§ 30 Absätze 1 bis 3 – Steuergeheimnis</w:t>
      </w:r>
    </w:p>
    <w:p>
      <w:r>
        <w:t xml:space="preserve">Bundesdatenschutzgesetz:</w:t>
      </w:r>
    </w:p>
    <w:p>
      <w:pPr>
        <w:ind w:left="420"/>
      </w:pPr>
      <w:r>
        <w:t xml:space="preserve">§§ 41 – 43 – Sanktionen</w:t>
      </w:r>
    </w:p>
    <w:p>
      <w:pPr>
        <w:ind w:left="420"/>
      </w:pPr>
      <w:r>
        <w:t xml:space="preserve">§ 83 – Schadensersatz und Entschädigung</w:t>
      </w:r>
    </w:p>
    <w:p>
      <w:r>
        <w:t xml:space="preserve">Datenschutz-Grundverordnung:</w:t>
      </w:r>
    </w:p>
    <w:p>
      <w:pPr>
        <w:ind w:left="420"/>
      </w:pPr>
      <w:r>
        <w:t xml:space="preserve">Artikel 5 – Grundsätze für die Verarbeitung personenbezogener Daten</w:t>
      </w:r>
    </w:p>
    <w:p>
      <w:pPr>
        <w:ind w:left="420"/>
      </w:pPr>
      <w:r>
        <w:t xml:space="preserve">Artikel 9 – Verarbeitung besonderer Kategorien personenbezogener Daten</w:t>
      </w:r>
    </w:p>
    <w:p>
      <w:pPr>
        <w:ind w:left="420"/>
      </w:pPr>
      <w:r>
        <w:t xml:space="preserve">Artikel 24, 25 und 32 – Anforderungen an die Sicherheit bei der Datenverarbeitung personenbezogener Daten</w:t>
      </w:r>
    </w:p>
    <w:p>
      <w:r>
        <w:rPr>
          <w:color w:val="555555"/>
          <w:sz w:val="17"/>
        </w:rPr>
        <w:t xml:space="preserve">Zitiervorschlag: Anhang 1 SpFV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https://recht.nulegal.eu/gesetze/SpFV/anhang-1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