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SpFV — Besondere Regelungen</w:t>
      </w:r>
    </w:p>
    <w:p>
      <w:r>
        <w:rPr>
          <w:color w:val="555555"/>
          <w:sz w:val="18"/>
        </w:rPr>
        <w:t xml:space="preserve">Sportbootführerscheinverordnung</w:t>
      </w:r>
    </w:p>
    <w:p>
      <w:r>
        <w:rPr>
          <w:color w:val="555555"/>
          <w:sz w:val="18"/>
        </w:rPr>
        <w:t xml:space="preserve">Stand: 01.05.2024 (konsolidierte Textfassung, kein amtliches Inkrafttretensdatum)</w:t>
      </w:r>
    </w:p>
    <w:p>
      <w:r>
        <w:t xml:space="preserve">(1) Keiner Fahrerlaubnis nach dieser Verordnung bedürfen</w:t>
      </w:r>
    </w:p>
    <w:p>
      <w:pPr>
        <w:ind w:left="420"/>
      </w:pPr>
      <w:r>
        <w:t xml:space="preserve">1. auf allen Binnenschifffahrtsstraßen und auf den Seeschifffahrtsstraßen Personen beim Führen eines Sportbootes, sofern das zu führende Sportboot mit einer Antriebsmaschine ausgerüstet ist, deren größte nicht überschreitbare Nutzleistung bei Verwendung eines</w:t>
      </w:r>
    </w:p>
    <w:p>
      <w:pPr>
        <w:ind w:left="780"/>
      </w:pPr>
      <w:r>
        <w:t xml:space="preserve">a) Verbrennungsmotors höchstens 11,03 Kilowatt,</w:t>
      </w:r>
    </w:p>
    <w:p>
      <w:pPr>
        <w:ind w:left="780"/>
      </w:pPr>
      <w:r>
        <w:t xml:space="preserve">b) Elektromotors höchstens 7,5 Kilowatt in der Betriebsart S1 (Dauerbetrieb) nach DIN EN 60034-1: Ausgabe Februar 2011 beträgt,</w:t>
      </w:r>
    </w:p>
    <w:p>
      <w:pPr>
        <w:ind w:left="420"/>
      </w:pPr>
      <w:r>
        <w:t xml:space="preserve">2. Personen beim Führen eines Segelsurfbretts,</w:t>
      </w:r>
    </w:p>
    <w:p>
      <w:pPr>
        <w:ind w:left="420"/>
      </w:pPr>
      <w:r>
        <w:t xml:space="preserve">3. Personen mit Wohnsitz außerhalb des Geltungsbereichs dieser Verordnung, die sich nicht länger als ein Jahr im Geltungsbereich dieser Verordnung aufhalten, sofern im Wohnsitzstaat keine Fahrerlaubnis für das zu führende Sportboot erforderlich ist,</w:t>
      </w:r>
    </w:p>
    <w:p>
      <w:pPr>
        <w:ind w:left="420"/>
      </w:pPr>
      <w:r>
        <w:t xml:space="preserve">4. Inhaber eines von einer als gemeinnützig anerkannten Körperschaft erteilten Befähigungsnachweises beim Führen von Wasserrettungsfahrzeugen in dem jeweiligen Geltungsbereich.</w:t>
      </w:r>
    </w:p>
    <w:p>
      <w:r>
        <w:t xml:space="preserve">Ist im Fall des Satzes 1 Nummer 3 in dem Staat des Wohnsitzes für das Führen eines Sportbootes auf den jeweiligen Gewässern ein Befähigungsnachweis amtlich vorgeschrieben oder wendet dieser Staat die Resolution Nr. 40 ECE (TRANS/SC.3/147/Rev.3, VkBl. 2013 S. 987) an, benötigt die Person den Befähigungsnachweis oder ein internationales Zertifikat nach der Resolution Nr. 40 ECE für das jeweilige Gewässer im Geltungsbereich dieser Verordnung. Die Generaldirektion Wasserstraßen und Schifffahrt macht im Verkehrsblatt bekannt, welche Staaten die Resolution Nr. 40 ECE anwenden.</w:t>
      </w:r>
    </w:p>
    <w:p>
      <w:r>
        <w:t xml:space="preserve">(2) Eine Fahrerlaubnis für das Führen eines Sportbootes unter Segel ist nur auf den in der Anlage 8 aufgeführten Binnenschifffahrtsstraßen erforderlich.</w:t>
      </w:r>
    </w:p>
    <w:p>
      <w:r>
        <w:t xml:space="preserve">(3) Gegen Vorlage eines Sportküstenschifferscheins, Sportseeschifferscheins oder Sporthochseeschifferscheins oder eines vor dem 1. Oktober 1999 erteilten Führerscheins für Küstenfahrt (BR) des Deutschen Segler-Verbandes sowie eines vor dem 1. Januar 1994 erteilten Führerscheins für die Revierfahrt (R), für große Küstenfahrt (BK) oder Seefahrt (C) des Deutschen Segler-Verbandes mit der Antriebsart unter Segel bei einem der beliehenen Verbände wird dem Inhaber eines Führerscheins mit dem Geltungsbereich Binnenschifffahrtsstraßen mit der Antriebsart Antriebsmaschine auf Antrag ein Sportbootführerschein mit dem Geltungsbereich Binnenschifffahrtsstraßen für beide Antriebsarten erteilt.</w:t>
      </w:r>
    </w:p>
    <w:p>
      <w:r>
        <w:rPr>
          <w:color w:val="555555"/>
          <w:sz w:val="17"/>
        </w:rPr>
        <w:t xml:space="preserve">Zitiervorschlag: § 5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