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SpFV — Begriffsbestimmungen</w:t>
      </w:r>
    </w:p>
    <w:p>
      <w:r>
        <w:rPr>
          <w:color w:val="555555"/>
          <w:sz w:val="18"/>
        </w:rPr>
        <w:t xml:space="preserve">Sportbootführerscheinverordnung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Im Sinne dieser Verordnung sind</w:t>
      </w:r>
    </w:p>
    <w:p>
      <w:pPr>
        <w:ind w:left="420"/>
      </w:pPr>
      <w:r>
        <w:t xml:space="preserve">1. Binnenschifffahrtsstraßen:die Bundeswasserstraßen im Sinne des § 1 Absatz 1 Nummer 2 des Binnenschifffahrtsaufgabengesetzes mit Ausnahme der Seeschifffahrtsstraßen und der Elbe im Hamburger Hafen.</w:t>
      </w:r>
    </w:p>
    <w:p>
      <w:pPr>
        <w:ind w:left="420"/>
      </w:pPr>
      <w:r>
        <w:t xml:space="preserve">2. Seeschifffahrtsstraßen:die Seeschifffahrtsstraßen im Sinne des § 1 Absatz 1 der Seeschifffahrtsstraßenordnung und des § 1 der Verordnung zur Einführung der Schifffahrtsordnung Emsmündung.</w:t>
      </w:r>
    </w:p>
    <w:p>
      <w:pPr>
        <w:ind w:left="420"/>
      </w:pPr>
      <w:r>
        <w:t xml:space="preserve">3. Sportboote:nicht gewerbsmäßig, für Sport- oder Freizeitzwecke verwendete Fahrzeuge, einschließlich Wassermotorräder, ausgenommen Fahrzeuge, die durch Muskelkraft oder nur mit einem Segel von höchstens 6 Quadratmeter Fläche fortbewegt werden.</w:t>
      </w:r>
    </w:p>
    <w:p>
      <w:r>
        <w:rPr>
          <w:color w:val="555555"/>
          <w:sz w:val="17"/>
        </w:rPr>
        <w:t xml:space="preserve">Zitiervorschlag: § 2 SpFV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https://recht.nulegal.eu/gesetze/SpFV/2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