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SpFV — Datenverarbeitung</w:t>
      </w:r>
    </w:p>
    <w:p>
      <w:r>
        <w:rPr>
          <w:color w:val="555555"/>
          <w:sz w:val="18"/>
        </w:rPr>
        <w:t xml:space="preserve">Sportbootführerscheinverordnung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(1) Die beliehenen Verbände sorgen dafür, dass die bei der Generaldirektion Wasserstraßen und Schifffahrt geführte Datei über die Inhaber einer von ihnen ausgestellten Fahrerlaubnis im Sinne der §§ 3 und 4 laufend auf dem aktuellen Stand gehalten wird. Dazu dürfen folgende Daten erhoben, gespeichert und verwendet werden:</w:t>
      </w:r>
    </w:p>
    <w:p>
      <w:pPr>
        <w:ind w:left="420"/>
      </w:pPr>
      <w:r>
        <w:t xml:space="preserve">1. Vor- und Nachname des Inhabers,</w:t>
      </w:r>
    </w:p>
    <w:p>
      <w:pPr>
        <w:ind w:left="420"/>
      </w:pPr>
      <w:r>
        <w:t xml:space="preserve">2. Anschrift des Inhabers,</w:t>
      </w:r>
    </w:p>
    <w:p>
      <w:pPr>
        <w:ind w:left="420"/>
      </w:pPr>
      <w:r>
        <w:t xml:space="preserve">3. Geburtsdatum, Geburtsort des Inhabers,</w:t>
      </w:r>
    </w:p>
    <w:p>
      <w:pPr>
        <w:ind w:left="420"/>
      </w:pPr>
      <w:r>
        <w:t xml:space="preserve">4. Datum der Erteilung der Fahrerlaubnis,</w:t>
      </w:r>
    </w:p>
    <w:p>
      <w:pPr>
        <w:ind w:left="420"/>
      </w:pPr>
      <w:r>
        <w:t xml:space="preserve">5. Ausstellungsdatum, ausstellende Stelle und Nummer des erteilten Sportbootführerscheins,</w:t>
      </w:r>
    </w:p>
    <w:p>
      <w:pPr>
        <w:ind w:left="420"/>
      </w:pPr>
      <w:r>
        <w:t xml:space="preserve">6. nach § 6 Absatz 4 erteilte Auflagen,</w:t>
      </w:r>
    </w:p>
    <w:p>
      <w:pPr>
        <w:ind w:left="420"/>
      </w:pPr>
      <w:r>
        <w:t xml:space="preserve">7. im Fall der Verlustmeldung eines Sportbootführerscheins das Datum der Erteilung einer Ersatzausfertigung,</w:t>
      </w:r>
    </w:p>
    <w:p>
      <w:pPr>
        <w:ind w:left="420"/>
      </w:pPr>
      <w:r>
        <w:t xml:space="preserve">8. im Fall der Entziehung oder des Ruhens der Fahrerlaubnis den Grund sowie die Frist, innerhalb derer eine neue Fahrerlaubnis nicht erteilt werden darf,</w:t>
      </w:r>
    </w:p>
    <w:p>
      <w:pPr>
        <w:ind w:left="420"/>
      </w:pPr>
      <w:r>
        <w:t xml:space="preserve">9. im Fall der Sicherstellung das Datum der Sicherstellung und die verwahrende Behörde.</w:t>
      </w:r>
    </w:p>
    <w:p>
      <w:r>
        <w:t xml:space="preserve">(2) Das Bundesamt für Seeschifffahrt und Hydrographie kann zur Überprüfung der jährlichen Anzahl der ausgestellten Sportbootführerscheine auf die bei der Generaldirektion Wasserstraßen und Schifffahrt geführte Datei insoweit einen lesenden Zugriff erhalten.</w:t>
      </w:r>
    </w:p>
    <w:p>
      <w:r>
        <w:rPr>
          <w:color w:val="555555"/>
          <w:sz w:val="17"/>
        </w:rPr>
        <w:t xml:space="preserve">Zitiervorschlag: § 17 SpFV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https://recht.nulegal.eu/gesetze/SpFV/17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