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SpFV — Entziehung der Fahrerlaubnis oder des Befähigungsnachweises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Wenn sich der Inhaber einer Fahrerlaubnis zum Führen von Sportbooten als untauglich oder unzuverlässig erweist, ist ihm die Fahrerlaubnis oder der Befähigungsnachweis von der nach § 16 Absatz 3 Satz 1 zuständigen Behörde zu entziehen. Bestehen Zweifel an der Tauglichkeit, kann von der nach § 16 Absatz 3 Satz 1 zuständigen Behörde die Vorlage eines amts- oder fachärztlichen Zeugnisses verlangt werden. Der Inhaber der Fahrerlaubnis gilt als widerleglich unzuverlässig, wenn er seiner Verpflichtung nach § 14 Absatz 5 nicht innerhalb einer Woche, nachdem die Anordnung über das Ruhen der Fahrerlaubnis vollziehbar geworden ist, nachgekommen ist.</w:t>
      </w:r>
    </w:p>
    <w:p>
      <w:r>
        <w:t xml:space="preserve">(2) Die Fahrerlaubnis kann von der nach § 16 Absatz 3 Satz 1 zuständigen Behörde entzogen werden, wenn der Inhaber wiederholt einer Auflage nach § 6 Absatz 4 Satz 1 nicht nachkommt. Die Wasserschutzpolizeien der Länder teilen der zuständigen Behörde die ihnen bekannten Tatsachen mit, die eine Entziehung rechtfertigen können.</w:t>
      </w:r>
    </w:p>
    <w:p>
      <w:r>
        <w:t xml:space="preserve">(3) Liegen bei einer ausländischen Fahrerlaubnis die Voraussetzungen für die Entziehung der Fahrerlaubnis vor, hat die Entziehung die Wirkung der Aberkennung des Rechts, von der Fahrerlaubnis im Inland Gebrauch zu machen.</w:t>
      </w:r>
    </w:p>
    <w:p>
      <w:r>
        <w:t xml:space="preserve">(4) Die Fahrerlaubnis erlischt mit der Entziehung. Der Inhaber hat den Sportbootführerschein unverzüglich bei der nach § 16 Absatz 3 Satz 1 zuständigen Behörde abzugeben.</w:t>
      </w:r>
    </w:p>
    <w:p>
      <w:r>
        <w:t xml:space="preserve">(5) Die nach § 16 Absatz 3 Satz 1 zuständige Behörde kann die Neuerteilung einer Fahrerlaubnis an Auflagen und Bedingungen binden.</w:t>
      </w:r>
    </w:p>
    <w:p>
      <w:r>
        <w:t xml:space="preserve">(6) Die zuständige Behörde teilt die Entziehung der Fahrerlaubnis den beliehenen Verbänden unverzüglich mit. Sofern der Inhaber seine Verpflichtung nach Absatz 4 nicht erfüllt hat, teilt die zuständige Behörde die Entziehung auch den Wasserschutzpolizeien der Länder unverzüglich mit.</w:t>
      </w:r>
    </w:p>
    <w:p>
      <w:r>
        <w:rPr>
          <w:color w:val="555555"/>
          <w:sz w:val="17"/>
        </w:rPr>
        <w:t xml:space="preserve">Zitiervorschlag: § 13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