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SpFV — Anwendungsbereich</w:t>
      </w:r>
    </w:p>
    <w:p>
      <w:r>
        <w:rPr>
          <w:color w:val="555555"/>
          <w:sz w:val="18"/>
        </w:rPr>
        <w:t xml:space="preserve">Sportbootführerscheinverordnung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Diese Verordnung gilt</w:t>
      </w:r>
    </w:p>
    <w:p>
      <w:pPr>
        <w:ind w:left="420"/>
      </w:pPr>
      <w:r>
        <w:t xml:space="preserve">1. auf den Binnenschifffahrtsstraßen für Sportboote von weniger als 20 Metern Länge, gemessen ohne Ruder und Bugspriet,</w:t>
      </w:r>
    </w:p>
    <w:p>
      <w:pPr>
        <w:ind w:left="420"/>
      </w:pPr>
      <w:r>
        <w:t xml:space="preserve">2. auf den Seeschifffahrtsstraßen: für Sportboote ohne Längenbegrenzung.</w:t>
      </w:r>
    </w:p>
    <w:p>
      <w:r>
        <w:rPr>
          <w:color w:val="555555"/>
          <w:sz w:val="17"/>
        </w:rPr>
        <w:t xml:space="preserve">Zitiervorschlag: § 1 SpFV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