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SpEisHErprobV — Bestehende Berufsausbildungsverhältnisse</w:t>
      </w:r>
    </w:p>
    <w:p>
      <w:r>
        <w:rPr>
          <w:color w:val="555555"/>
          <w:sz w:val="18"/>
        </w:rPr>
        <w:t xml:space="preserve">Verordnung über die Entwicklung und Erprobung des Ausbildungsberufs Speiseeishersteller/Speiseeisherstellerin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bei Außerkrafttreten dieser Verordnung bestehenden Berufsausbildungsverhältnisse können nach den Vorschriften dieser Verordnung zu Ende geführt werden.</w:t>
      </w:r>
    </w:p>
    <w:p>
      <w:r>
        <w:rPr>
          <w:color w:val="555555"/>
          <w:sz w:val="17"/>
        </w:rPr>
        <w:t xml:space="preserve">Zitiervorschlag: § 10 SpEisHErprobV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https://recht.nulegal.eu/gesetze/SpEisHErprobV/10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