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SozhiEinOG</w:t>
      </w:r>
    </w:p>
    <w:p>
      <w:r>
        <w:rPr>
          <w:color w:val="555555"/>
          <w:sz w:val="18"/>
        </w:rPr>
        <w:t xml:space="preserve">Gesetz zur Einordnung des Sozialhilferechts in das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SozhiEinOG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https://recht.nulegal.eu/gesetze/SozhiEinOG/eingangsformel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SozhiEinOG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