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SozSichAbkSWEG</w:t>
      </w:r>
    </w:p>
    <w:p>
      <w:r>
        <w:rPr>
          <w:color w:val="555555"/>
          <w:sz w:val="18"/>
        </w:rPr>
        <w:t xml:space="preserve">Gesetz zu dem Abkommen vom 27. Februar 1976 zwischen der Bundesrepublik Deutschland und dem Königreich Schweden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Fällen, in denen nach Artikel 20 Abs. 1 und 2 des Abkommens in der Bundesrepublik Deutschland ein Träger der Krankenversicherung Sachleistungen gewährt, haben ihm die deutschen Träger der Unfallversicherung die Kosten für diese Leistungen zu erstatten.</w:t>
      </w:r>
    </w:p>
    <w:p>
      <w:r>
        <w:t xml:space="preserve">(2) Die Kosten werden zu gleichen Teilen auf alle Träger der Unfallversicherung umgelegt. Dies gilt auch für die Aufwendungen der Unfallversicherungsträger nach Artikel 20 Abs. 3 des Abkommens und Nummer 13 des Schlußprotokolls zum Abkommen. Die Erstattung und Umlage führt der Hauptverband der gewerblichen Berufsgenossenschaften e.V. als Verbindungsstelle für die Unfallversicherung durch.</w:t>
      </w:r>
    </w:p>
    <w:p>
      <w:r>
        <w:rPr>
          <w:color w:val="555555"/>
          <w:sz w:val="17"/>
        </w:rPr>
        <w:t xml:space="preserve">Zitiervorschlag: Art 3 SozSichAbkSWEG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https://recht.nulegal.eu/gesetze/SozSichAbkSWEG/3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