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SozPflegerV — Förderungsrechtliche Stellung der Auszubildenden</w:t>
      </w:r>
    </w:p>
    <w:p>
      <w:r>
        <w:rPr>
          <w:color w:val="555555"/>
          <w:sz w:val="18"/>
        </w:rPr>
        <w:t xml:space="preserve">Verordnung über die Ausbildungsförderung für soziale Pflegeberufe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Die Auszubildenden an den in § 1 bezeichneten Ausbildungsstätten erhalten Ausbildungsförderung wie Schüler an Fachschulen, wenn Aufnahmevoraussetzung eine abgeschlossene Berufsausbildung oder eine mehrjährige geeignete Tätigkeit ist, im übrigen wie Schüler an Berufsfachschulen.</w:t>
      </w:r>
    </w:p>
    <w:p>
      <w:r>
        <w:rPr>
          <w:color w:val="555555"/>
          <w:sz w:val="17"/>
        </w:rPr>
        <w:t xml:space="preserve">Zitiervorschlag: § 2 SozPflegerV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https://recht.nulegal.eu/gesetze/SozPflegerV/2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