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SozKiGAbV</w:t>
      </w:r>
    </w:p>
    <w:p>
      <w:r>
        <w:rPr>
          <w:color w:val="555555"/>
          <w:sz w:val="18"/>
        </w:rPr>
        <w:t xml:space="preserve">Sozialleistungsträger-Datenabruf-Verordnung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Bundesministerium der Finanzen verordnet aufgrund des § 68 Absatz 5 des Einkommensteuergesetzes in der Fassung der Bekanntmachung vom 8. Oktober 2009 (BGBl. I S. 3366, 3862), das zuletzt durch Artikel 1 des Gesetzes vom 14. Juli 2025 (BGBl. 2025 I Nr. 161) geändert worden ist:</w:t>
      </w:r>
    </w:p>
    <w:p>
      <w:r>
        <w:rPr>
          <w:color w:val="555555"/>
          <w:sz w:val="17"/>
        </w:rPr>
        <w:t xml:space="preserve">Zitiervorschlag: Eingangsformel SozKiGAbV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https://recht.nulegal.eu/gesetze/SozKiGAbV/eingangsformel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SozKiGAbV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