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SortSchG 1985 — Nichtberechtigter Antragsteller</w:t>
      </w:r>
    </w:p>
    <w:p>
      <w:r>
        <w:rPr>
          <w:color w:val="555555"/>
          <w:sz w:val="18"/>
        </w:rPr>
        <w:t xml:space="preserve">Sortenschutzgesetz</w:t>
      </w:r>
    </w:p>
    <w:p>
      <w:r>
        <w:rPr>
          <w:color w:val="555555"/>
          <w:sz w:val="18"/>
        </w:rPr>
        <w:t xml:space="preserve">Stand: 10.06.2019 (konsolidierte Textfassung, kein amtliches Inkrafttretensdatum)</w:t>
      </w:r>
    </w:p>
    <w:p>
      <w:r>
        <w:t xml:space="preserve">(1) Hat ein Nichtberechtigter Sortenschutz beantragt, so kann der Berechtigte vom Antragsteller verlangen, daß dieser ihm den Anspruch auf Erteilung des Sortenschutzes überträgt.</w:t>
      </w:r>
    </w:p>
    <w:p>
      <w:r>
        <w:t xml:space="preserve">(2) Ist einem Nichtberechtigten Sortenschutz erteilt worden, so kann der Berechtigte vom Sortenschutzinhaber verlangen, daß dieser ihm den Sortenschutz überträgt. Dieser Anspruch erlischt fünf Jahre nach der Bekanntmachung der Eintragung in die Sortenschutzrolle, es sei denn, daß der Sortenschutzinhaber beim Erwerb des Sortenschutzes nicht in gutem Glauben war.</w:t>
      </w:r>
    </w:p>
    <w:p>
      <w:r>
        <w:rPr>
          <w:color w:val="555555"/>
          <w:sz w:val="17"/>
        </w:rPr>
        <w:t xml:space="preserve">Zitiervorschlag: § 9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