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SortSchG 1985 — Recht auf Sortenschutz</w:t>
      </w:r>
    </w:p>
    <w:p>
      <w:r>
        <w:rPr>
          <w:color w:val="555555"/>
          <w:sz w:val="18"/>
        </w:rPr>
        <w:t xml:space="preserve">Sortenschutzgesetz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Recht auf Sortenschutz steht dem Ursprungszüchter oder Entdecker der Sorte oder seinem Rechtsnachfolger zu. Haben mehrere die Sorte gemeinsam gezüchtet oder entdeckt, so steht ihnen das Recht gemeinschaftlich zu.</w:t>
      </w:r>
    </w:p>
    <w:p>
      <w:r>
        <w:t xml:space="preserve">(2) Der Antragsteller gilt im Verfahren vor dem Bundessortenamt als Berechtigter, es sei denn, daß dem Bundessortenamt bekannt wird, daß ihm das Recht auf Sortenschutz nicht zusteht.</w:t>
      </w:r>
    </w:p>
    <w:p>
      <w:r>
        <w:rPr>
          <w:color w:val="555555"/>
          <w:sz w:val="17"/>
        </w:rPr>
        <w:t xml:space="preserve">Zitiervorschlag: § 8 SortSchG 1985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https://recht.nulegal.eu/gesetze/SortSchG%201985/8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