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SortSchG 1985 — Bußgeldvorschriften</w:t>
      </w:r>
    </w:p>
    <w:p>
      <w:r>
        <w:rPr>
          <w:color w:val="555555"/>
          <w:sz w:val="18"/>
        </w:rPr>
        <w:t xml:space="preserve">Sortenschutzgesetz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14 Abs. 1 Vermehrungsmaterial einer nach diesem Gesetz geschützten Sorte in den Verkehr bringt, wenn hierbei die Sortenbezeichnung nicht oder nicht in der vorgeschriebenen Weise angegeben ist,</w:t>
      </w:r>
    </w:p>
    <w:p>
      <w:pPr>
        <w:ind w:left="420"/>
      </w:pPr>
      <w:r>
        <w:t xml:space="preserve">2. entgegen § 14 Abs. 3 eine Sortenbezeichnung einer nach diesem Gesetz geschützten Sorte oder eine mit ihr verwechselbare Bezeichnung für eine andere Sorte derselben oder einer verwandten Art verwendet oder</w:t>
      </w:r>
    </w:p>
    <w:p>
      <w:pPr>
        <w:ind w:left="420"/>
      </w:pPr>
      <w:r>
        <w:t xml:space="preserve">3. entgegen Artikel 17 Abs. 1, auch in Verbindung mit Abs. 3, der Verordnung (EG) Nr. 2100/94 des Rates vom 27. Juli 1994 über den gemeinschaftlichen Sortenschutz (ABl. EG Nr. L 227 S. 1) die Bezeichnung einer nach gemeinschaftlichem Sortenschutzrecht geschützten Sorte nicht, nicht richtig, nicht vollständig oder nicht in der vorgeschriebenen Weise verwendet.</w:t>
      </w:r>
    </w:p>
    <w:p>
      <w:r>
        <w:t xml:space="preserve">(2) Die Ordnungswidrigkeit kann mit einer Geldbuße bis zu fünftausend Euro geahndet werden.</w:t>
      </w:r>
    </w:p>
    <w:p>
      <w:r>
        <w:t xml:space="preserve">(3) Gegenstände, auf die sich die Ordnungswidrigkeit bezieht, können eingezogen werden. § 23 des Gesetzes über Ordnungswidrigkeiten ist anzuwenden.</w:t>
      </w:r>
    </w:p>
    <w:p>
      <w:r>
        <w:t xml:space="preserve">(4) Verwaltungsbehörde im Sinne des § 36 Abs. 1 Nr. 1 des Gesetzes über Ordnungswidrigkeiten ist das Bundessortenamt.</w:t>
      </w:r>
    </w:p>
    <w:p>
      <w:r>
        <w:rPr>
          <w:color w:val="555555"/>
          <w:sz w:val="17"/>
        </w:rPr>
        <w:t xml:space="preserve">Zitiervorschlag: § 40 SortSchG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https://recht.nulegal.eu/gesetze/SortSchG%201985/40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