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37f SortSchG 1985 — Verjährung</w:t>
      </w:r>
    </w:p>
    <w:p>
      <w:r>
        <w:rPr>
          <w:color w:val="555555"/>
          <w:sz w:val="18"/>
        </w:rPr>
        <w:t xml:space="preserve">Sortenschutzgesetz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Verjährung der Ansprüche wegen Verletzung eines nach diesem Gesetz geschützten Rechts finden die Vorschriften des Abschnitts 5 des Buches 1 des Bürgerlichen Gesetzbuchs entsprechende Anwendung. Hat der Verpflichtete durch die Verletzung auf Kosten des Berechtigten etwas erlangt, findet § 852 des Bürgerlichen Gesetzbuchs entsprechende Anwendung.</w:t>
      </w:r>
    </w:p>
    <w:p>
      <w:r>
        <w:rPr>
          <w:color w:val="555555"/>
          <w:sz w:val="17"/>
        </w:rPr>
        <w:t xml:space="preserve">Zitiervorschlag: § 37f SortSchG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https://recht.nulegal.eu/gesetze/SortSchG%201985/37f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