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37c SortSchG 1985 — Vorlage- und Besichtigungsansprüche</w:t>
      </w:r>
    </w:p>
    <w:p>
      <w:r>
        <w:rPr>
          <w:color w:val="555555"/>
          <w:sz w:val="18"/>
        </w:rPr>
        <w:t xml:space="preserve">Sortenschutzgesetz</w:t>
      </w:r>
    </w:p>
    <w:p>
      <w:r>
        <w:rPr>
          <w:color w:val="555555"/>
          <w:sz w:val="18"/>
        </w:rPr>
        <w:t xml:space="preserve">Stand: 10.06.2019 (konsolidierte Textfassung, kein amtliches Inkrafttretensdatum)</w:t>
      </w:r>
    </w:p>
    <w:p>
      <w:r>
        <w:t xml:space="preserve">(1) Bei hinreichender Wahrscheinlichkeit einer Rechtsverletzung im Sinn von § 37 Abs. 1 kann der Rechtsinhaber oder ein anderer Berechtigter den vermeintlichen Verletzer auf Vorlage einer Urkunde oder Besichtigung einer Sache in Anspruch nehmen, die sich in dessen Verfügungsgewalt befindet, wenn dies zur Begründung seiner Ansprüche erforderlich ist. In Fällen einer in gewerblichem Ausmaß begangenen Rechtsverletzung erstreckt sich der Anspruch auch auf die Vorlage von Bank-, Finanz- oder Handelsunterlagen. Soweit der vermeintliche Verletzer geltend macht, dass es sich um vertrauliche Informationen handelt, trifft das Gericht die erforderlichen Maßnahmen, um den im Einzelfall gebotenen Schutz zu gewährleisten.</w:t>
      </w:r>
    </w:p>
    <w:p>
      <w:r>
        <w:t xml:space="preserve">(2) Der Anspruch nach Absatz 1 ist ausgeschlossen, wenn die Inanspruchnahme im Einzelfall unverhältnismäßig ist.</w:t>
      </w:r>
    </w:p>
    <w:p>
      <w:r>
        <w:t xml:space="preserve">(3) Die Verpflichtung zur Vorlage einer Urkunde oder zur Duldung der Besichtigung einer Sache kann im Wege der einstweiligen Verfügung nach den §§ 935 bis 945 der Zivilprozessordnung angeordnet werden. Das Gericht trifft die erforderlichen Maßnahmen, um den Schutz vertraulicher Informationen zu gewährleisten. Dies gilt insbesondere in den Fällen, in denen die einstweilige Verfügung ohne vorherige Anhörung des Gegners erlassen wird.</w:t>
      </w:r>
    </w:p>
    <w:p>
      <w:r>
        <w:t xml:space="preserve">(4) § 811 des Bürgerlichen Gesetzbuchs sowie § 37b Abs. 8 gelten entsprechend.</w:t>
      </w:r>
    </w:p>
    <w:p>
      <w:r>
        <w:t xml:space="preserve">(5) Wenn keine Verletzung vorlag oder drohte, kann der vermeintliche Verletzer von demjenigen, der die Vorlage oder Besichtigung nach Absatz 1 begehrt hat, den Ersatz des ihm durch das Begehren entstandenen Schadens verlangen.</w:t>
      </w:r>
    </w:p>
    <w:p>
      <w:r>
        <w:rPr>
          <w:color w:val="555555"/>
          <w:sz w:val="17"/>
        </w:rPr>
        <w:t xml:space="preserve">Zitiervorschlag: § 37c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