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37a SortSchG 1985 — Anspruch auf Vernichtung und Rückruf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Verletzte kann den Verletzer in den Fällen des § 37 Abs. 1 auf Vernichtung des im Besitz oder Eigentum des Verletzers befindlichen Materials, das Gegenstand der Verletzungshandlung ist, in Anspruch nehmen. Satz 1 ist entsprechend auf die im Eigentum des Verletzers stehenden Vorrichtungen anzuwenden, die vorwiegend zur Herstellung dieses Materials gedient haben.</w:t>
      </w:r>
    </w:p>
    <w:p>
      <w:r>
        <w:t xml:space="preserve">(2) Der Verletzte kann den Verletzer in den Fällen des § 37 Abs. 1 auf Rückruf rechtswidrig hergestellten, verbreiteten oder zur rechtswidrigen Verbreitung bestimmten Materials oder auf dessen endgültiges Entfernen aus den Vertriebswegen in Anspruch nehmen.</w:t>
      </w:r>
    </w:p>
    <w:p>
      <w:r>
        <w:t xml:space="preserve">(3) Die Ansprüche nach den Absätzen 1 und 2 sind ausgeschlossen, wenn die Maßnahme im Einzelfall unverhältnismäßig ist. Bei der Prüfung der Verhältnismäßigkeit sind auch die berechtigten Interessen Dritter zu berücksichtigen.</w:t>
      </w:r>
    </w:p>
    <w:p>
      <w:r>
        <w:rPr>
          <w:color w:val="555555"/>
          <w:sz w:val="17"/>
        </w:rPr>
        <w:t xml:space="preserve">Zitiervorschlag: § 37a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https://recht.nulegal.eu/gesetze/SortSchG%201985/37a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