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SortSchG 1985 — Anwendung des Patentgesetzes</w:t>
      </w:r>
    </w:p>
    <w:p>
      <w:r>
        <w:rPr>
          <w:color w:val="555555"/>
          <w:sz w:val="18"/>
        </w:rPr>
        <w:t xml:space="preserve">Sortenschutzgesetz</w:t>
      </w:r>
    </w:p>
    <w:p>
      <w:r>
        <w:rPr>
          <w:color w:val="555555"/>
          <w:sz w:val="18"/>
        </w:rPr>
        <w:t xml:space="preserve">Stand: 10.06.2019 (konsolidierte Textfassung, kein amtliches Inkrafttretensdatum)</w:t>
      </w:r>
    </w:p>
    <w:p>
      <w:r>
        <w:t xml:space="preserve">Soweit in den §§ 34 und 35 nichts anderes bestimmt ist, gelten die Vorschriften des Patentgesetzes über das Beschwerdeverfahren vor dem Patentgericht und das Rechtsbeschwerdeverfahren vor dem Bundesgerichtshof sowie über die Verfahrenskostenhilfe in diesen Verfahren entsprechend.</w:t>
      </w:r>
    </w:p>
    <w:p>
      <w:r>
        <w:rPr>
          <w:color w:val="555555"/>
          <w:sz w:val="17"/>
        </w:rPr>
        <w:t xml:space="preserve">Zitiervorschlag: § 36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