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SortSchG 1985 — Beschwerde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Beschlüsse der Widerspruchsausschüsse findet die Beschwerde an das Patentgericht statt.</w:t>
      </w:r>
    </w:p>
    <w:p>
      <w:r>
        <w:t xml:space="preserve">(2) Innerhalb der Beschwerdefrist ist eine Beschwerdegebühr nach dem Patentkostengesetz zu zahlen; wird sie nicht gezahlt, so gilt die Beschwerde als nicht erhoben.</w:t>
      </w:r>
    </w:p>
    <w:p>
      <w:r>
        <w:t xml:space="preserve">(3) Die Beschwerde gegen die Festsetzung einer Sortenbezeichnung nach § 30 Abs. 2 und gegen einen Beschluß, dessen sofortige Vollziehung angeordnet worden ist, hat keine aufschiebende Wirkung.</w:t>
      </w:r>
    </w:p>
    <w:p>
      <w:r>
        <w:t xml:space="preserve">(4) Der Präsident des Bundessortenamtes kann dem Beschwerdeverfahren beitreten.</w:t>
      </w:r>
    </w:p>
    <w:p>
      <w:r>
        <w:t xml:space="preserve">(5) Über die Beschwerde entscheidet ein Beschwerdesenat. Er entscheidet in den Fällen des § 18 Abs. 2 Nr. 3 und 4 in der Besetzung mit drei rechtskundigen Mitgliedern, im übrigen in der Besetzung mit einem rechtskundigen Mitglied als Vorsitzendem, einem weiteren rechtskundigen Mitglied und zwei technischen Mitgliedern.</w:t>
      </w:r>
    </w:p>
    <w:p>
      <w:r>
        <w:rPr>
          <w:color w:val="555555"/>
          <w:sz w:val="17"/>
        </w:rPr>
        <w:t xml:space="preserve">Zitiervorschlag: § 34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