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SortSchG 1985 — Ermächtigung zum Erlaß von Verfahrensvorschriften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wird ermächtigt, durch Rechtsverordnung</w:t>
      </w:r>
    </w:p>
    <w:p>
      <w:pPr>
        <w:ind w:left="420"/>
      </w:pPr>
      <w:r>
        <w:t xml:space="preserve">1. die Einzelheiten des Verfahrens vor dem Bundessortenamt einschließlich der Auswahl der für die Unterscheidbarkeit maßgebenden Merkmale, der Festsetzung des Prüfungsumfangs und der Nachprüfung des Fortbestehens der geschützten Sorten zu regeln,</w:t>
      </w:r>
    </w:p>
    <w:p>
      <w:pPr>
        <w:ind w:left="420"/>
      </w:pPr>
      <w:r>
        <w:t xml:space="preserve">2. das Blatt für Bekanntmachungen des Bundessortenamtes zu bestimmen.</w:t>
      </w:r>
    </w:p>
    <w:p>
      <w:r>
        <w:rPr>
          <w:color w:val="555555"/>
          <w:sz w:val="17"/>
        </w:rPr>
        <w:t xml:space="preserve">Zitiervorschlag: § 32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