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SortSchG 1985 — Beendigung des Sortenschutzes</w:t>
      </w:r>
    </w:p>
    <w:p>
      <w:r>
        <w:rPr>
          <w:color w:val="555555"/>
          <w:sz w:val="18"/>
        </w:rPr>
        <w:t xml:space="preserve">Sortenschutzgesetz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Sortenschutz erlischt, wenn der Sortenschutzinhaber hierauf gegenüber dem Bundessortenamt schriftlich verzichtet.</w:t>
      </w:r>
    </w:p>
    <w:p>
      <w:r>
        <w:t xml:space="preserve">(2) Die Erteilung des Sortenschutzes ist zurückzunehmen, wenn sich ergibt, daß die Sorte bei der Sortenschutzerteilung nicht unterscheidbar oder nicht neu war. Ein Anspruch auf Ausgleich eines Vermögensnachteils nach § 48 Abs. 3 des Verwaltungsverfahrensgesetzes besteht nicht. Eine Rücknahme aus anderen Gründen ist nicht zulässig.</w:t>
      </w:r>
    </w:p>
    <w:p>
      <w:r>
        <w:t xml:space="preserve">(3) Die Erteilung des Sortenschutzes ist zu widerrufen, wenn sich ergibt, daß die Sorte nicht homogen oder nicht beständig ist.</w:t>
      </w:r>
    </w:p>
    <w:p>
      <w:r>
        <w:t xml:space="preserve">(4) Im übrigen kann die Erteilung des Sortenschutzes nur widerrufen werden, wenn der Sortenschutzinhaber</w:t>
      </w:r>
    </w:p>
    <w:p>
      <w:pPr>
        <w:ind w:left="420"/>
      </w:pPr>
      <w:r>
        <w:t xml:space="preserve">1. einer Aufforderung nach § 30 Abs. 2 zur Angabe einer anderen Sortenbezeichnung nicht nachgekommen ist,</w:t>
      </w:r>
    </w:p>
    <w:p>
      <w:pPr>
        <w:ind w:left="420"/>
      </w:pPr>
      <w:r>
        <w:t xml:space="preserve">2. eine durch Rechtsverordnung nach § 32 Nr. 1 begründete Verpflichtung hinsichtlich der Nachprüfung des Fortbestehens der Sorte trotz Mahnung nicht erfüllt hat oder</w:t>
      </w:r>
    </w:p>
    <w:p>
      <w:pPr>
        <w:ind w:left="420"/>
      </w:pPr>
      <w:r>
        <w:t xml:space="preserve">3. fällige Jahresgebühren innerhalb einer Nachfrist nicht entrichtet hat.</w:t>
      </w:r>
    </w:p>
    <w:p>
      <w:r>
        <w:rPr>
          <w:color w:val="555555"/>
          <w:sz w:val="17"/>
        </w:rPr>
        <w:t xml:space="preserve">Zitiervorschlag: § 31 SortSchG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https://recht.nulegal.eu/gesetze/SortSchG%201985/31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