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SortSchG 1985 — Prüfung</w:t>
      </w:r>
    </w:p>
    <w:p>
      <w:r>
        <w:rPr>
          <w:color w:val="555555"/>
          <w:sz w:val="18"/>
        </w:rPr>
        <w:t xml:space="preserve">Sortenschutzgesetz</w:t>
      </w:r>
    </w:p>
    <w:p>
      <w:r>
        <w:rPr>
          <w:color w:val="555555"/>
          <w:sz w:val="18"/>
        </w:rPr>
        <w:t xml:space="preserve">Stand: 10.06.2019 (konsolidierte Textfassung, kein amtliches Inkrafttretensdatum)</w:t>
      </w:r>
    </w:p>
    <w:p>
      <w:r>
        <w:t xml:space="preserve">(1) Bei der Prüfung, ob die Sorte die Voraussetzungen für die Erteilung des Sortenschutzes erfüllt, baut das Bundessortenamt die Sorte an oder stellt die sonst erforderlichen Untersuchungen an. Hiervon kann es absehen, soweit ihm frühere eigene Prüfungsergebnisse zur Verfügung stehen.</w:t>
      </w:r>
    </w:p>
    <w:p>
      <w:r>
        <w:t xml:space="preserve">(2) Das Bundessortenamt kann den Anbau oder die sonst erforderlichen Untersuchungen durch andere fachlich geeignete Stellen, auch im Ausland, durchführen lassen und Ergebnisse von Anbauprüfungen oder sonstigen Untersuchungen solcher Stellen berücksichtigen.</w:t>
      </w:r>
    </w:p>
    <w:p>
      <w:r>
        <w:t xml:space="preserve">(3) Das Bundessortenamt fordert den Antragsteller auf, ihm oder der von ihm bezeichneten Stelle innerhalb einer bestimmten Frist das erforderliche Vermehrungsmaterial und sonstige Material und die erforderlichen weiteren Unterlagen vorzulegen, die erforderlichen Auskünfte zu erteilen und deren Prüfung zu gestatten.</w:t>
      </w:r>
    </w:p>
    <w:p>
      <w:r>
        <w:t xml:space="preserve">(4) Macht der Antragsteller einen Zeitvorrang nach § 23 Abs. 2 geltend, so hat er das erforderliche Vermehrungsmaterial und sonstige Material und die erforderlichen weiteren Unterlagen innerhalb von vier Jahren nach Ablauf der Zeitvorrangfrist vorzulegen. Nach der Vorlage darf er anderes Vermehrungsmaterial und anderes sonstiges Material nicht nachreichen. Wird vor Ablauf der Frist von vier Jahren der erste Antrag zurückgenommen oder die Erteilung des Züchterrechts abgelehnt, so kann das Bundessortenamt den Antragsteller auffordern, das Vermehrungsmaterial und sonstige Material zur nächsten Vegetationsperiode sowie die weiteren Unterlagen innerhalb einer bestimmten Frist vorzulegen.</w:t>
      </w:r>
    </w:p>
    <w:p>
      <w:r>
        <w:t xml:space="preserve">(5) Das Bundessortenamt kann Behörden und Stellen im Ausland Auskünfte über Prüfungsergebnisse erteilen, soweit dies zur gegenseitigen Unterrichtung erforderlich ist.</w:t>
      </w:r>
    </w:p>
    <w:p>
      <w:r>
        <w:t xml:space="preserve">(6) Das Bundessortenamt fordert den Antragsteller auf, innerhalb einer bestimmten Frist schriftlich</w:t>
      </w:r>
    </w:p>
    <w:p>
      <w:pPr>
        <w:ind w:left="420"/>
      </w:pPr>
      <w:r>
        <w:t xml:space="preserve">1. eine Sortenbezeichnung anzugeben, wenn er eine vorläufige Bezeichnung angegeben hat,</w:t>
      </w:r>
    </w:p>
    <w:p>
      <w:pPr>
        <w:ind w:left="420"/>
      </w:pPr>
      <w:r>
        <w:t xml:space="preserve">2. eine andere Sortenbezeichnung anzugeben, wenn die angegebene Sortenbezeichnung nicht eintragbar ist.</w:t>
      </w:r>
    </w:p>
    <w:p>
      <w:r>
        <w:t xml:space="preserve">Die §§ 24 und 25 gelten entsprechend.</w:t>
      </w:r>
    </w:p>
    <w:p>
      <w:r>
        <w:rPr>
          <w:color w:val="555555"/>
          <w:sz w:val="17"/>
        </w:rPr>
        <w:t xml:space="preserve">Zitiervorschlag: § 26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