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SortSchG 1985 — Bekanntmachung des Sortenschutzantrags</w:t>
      </w:r>
    </w:p>
    <w:p>
      <w:r>
        <w:rPr>
          <w:color w:val="555555"/>
          <w:sz w:val="18"/>
        </w:rPr>
        <w:t xml:space="preserve">Sortenschutzgesetz</w:t>
      </w:r>
    </w:p>
    <w:p>
      <w:r>
        <w:rPr>
          <w:color w:val="555555"/>
          <w:sz w:val="18"/>
        </w:rPr>
        <w:t xml:space="preserve">Stand: 10.06.2019 (konsolidierte Textfassung, kein amtliches Inkrafttretensdatum)</w:t>
      </w:r>
    </w:p>
    <w:p>
      <w:r>
        <w:t xml:space="preserve">(1) Das Bundessortenamt macht den Sortenschutzantrag unter Angabe der Art, der angegebenen Sortenbezeichnung oder vorläufigen Bezeichnung, des Antragstages sowie des Namens und der Anschrift des Antragstellers, des Ursprungszüchters oder Entdeckers und eines Verfahrensvertreters bekannt.</w:t>
      </w:r>
    </w:p>
    <w:p>
      <w:r>
        <w:t xml:space="preserve">(2) Ist der Antrag nach seiner Bekanntmachung zurückgenommen worden, gilt er nach § 27 Abs. 2 wegen Säumnis als nicht gestellt oder ist die Erteilung des Sortenschutzes abgelehnt worden, so macht das Bundessortenamt dies ebenfalls bekannt.</w:t>
      </w:r>
    </w:p>
    <w:p>
      <w:r>
        <w:rPr>
          <w:color w:val="555555"/>
          <w:sz w:val="17"/>
        </w:rPr>
        <w:t xml:space="preserve">Zitiervorschlag: § 24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