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SortSchG 1985 — Stellung und Aufgaben</w:t>
      </w:r>
    </w:p>
    <w:p>
      <w:r>
        <w:rPr>
          <w:color w:val="555555"/>
          <w:sz w:val="18"/>
        </w:rPr>
        <w:t xml:space="preserve">Sortenschutzgesetz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Bundessortenamt ist eine selbständige Bundesoberbehörde im Geschäftsbereich des Bundesministeriums für Ernährung und Landwirtschaft.</w:t>
      </w:r>
    </w:p>
    <w:p>
      <w:r>
        <w:t xml:space="preserve">(2) Das Bundessortenamt ist zuständig für die Erteilung des Sortenschutzes und die hiermit zusammenhängenden Angelegenheiten. Es führt die Sortenschutzrolle und prüft das Fortbestehen der geschützten Sorten nach.</w:t>
      </w:r>
    </w:p>
    <w:p>
      <w:r>
        <w:rPr>
          <w:color w:val="555555"/>
          <w:sz w:val="17"/>
        </w:rPr>
        <w:t xml:space="preserve">Zitiervorschlag: § 16 SortSchG 1985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https://recht.nulegal.eu/gesetze/SortSchG%201985/16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