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SortSchG 1985 — Zwangsnutzungsrecht bei biotechnologischen Erfindungen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Kann der Inhaber eines Patents für eine biotechnologische Erfindung (§ 1 Abs. 2 des Patentgesetzes) diese nicht verwerten, ohne ein früher erteiltes Sortenschutzrecht zu verletzen, so erteilt das Bundessortenamt auf Antrag nach Maßgabe der Absätze 3 und 4 ein Zwangsnutzungsrecht an dem Sortenschutz hinsichtlich der Berechtigungen nach § 10 zu angemessenen Bedingungen.</w:t>
      </w:r>
    </w:p>
    <w:p>
      <w:r>
        <w:t xml:space="preserve">(2) Der Sortenschutzinhaber kann verlangen, dass ihm der Patentinhaber eine gegenseitige Lizenz zu angemessenen Bedingungen einräumt.</w:t>
      </w:r>
    </w:p>
    <w:p>
      <w:r>
        <w:t xml:space="preserve">(3) Der Patentinhaber muss nachweisen, dass</w:t>
      </w:r>
    </w:p>
    <w:p>
      <w:pPr>
        <w:ind w:left="420"/>
      </w:pPr>
      <w:r>
        <w:t xml:space="preserve">1. er sich vergeblich an den Sortenschutzinhaber gewandt hat, um ein vertragliches Nutzungsrecht zu erhalten,</w:t>
      </w:r>
    </w:p>
    <w:p>
      <w:pPr>
        <w:ind w:left="420"/>
      </w:pPr>
      <w:r>
        <w:t xml:space="preserve">2. die Erfindung einen bedeutenden technischen Fortschritt von erheblichem wirtschaftlichen Interesse gegenüber der geschützten Pflanzensorte darstellt.</w:t>
      </w:r>
    </w:p>
    <w:p>
      <w:r>
        <w:t xml:space="preserve">(4) Das Bundessortenamt setzt bei der Erteilung des Zwangsnutzungsrechts die Bedingungen, insbesondere die Höhe der an den Sortenschutzinhaber zu zahlenden Vergütung, fest. § 12 Abs. 2 und 4 gilt entsprechend.</w:t>
      </w:r>
    </w:p>
    <w:p>
      <w:r>
        <w:rPr>
          <w:color w:val="555555"/>
          <w:sz w:val="17"/>
        </w:rPr>
        <w:t xml:space="preserve">Zitiervorschlag: § 12a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