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SortSchG 1985 — Zwangsnutzungsrecht</w:t>
      </w:r>
    </w:p>
    <w:p>
      <w:r>
        <w:rPr>
          <w:color w:val="555555"/>
          <w:sz w:val="18"/>
        </w:rPr>
        <w:t xml:space="preserve">Sortenschutzgesetz</w:t>
      </w:r>
    </w:p>
    <w:p>
      <w:r>
        <w:rPr>
          <w:color w:val="555555"/>
          <w:sz w:val="18"/>
        </w:rPr>
        <w:t xml:space="preserve">Stand: 10.06.2019 (konsolidierte Textfassung, kein amtliches Inkrafttretensdatum)</w:t>
      </w:r>
    </w:p>
    <w:p>
      <w:r>
        <w:t xml:space="preserve">(1) Das Bundessortenamt kann auf Antrag, soweit es unter Berücksichtigung der wirtschaftlichen Zumutbarkeit für den Sortenschutzinhaber im öffentlichen Interesse geboten ist, ein Zwangsnutzungsrecht an dem Sortenschutz hinsichtlich der Berechtigungen nach § 10 zu angemessenen Bedingungen erteilen, wenn der Sortenschutzinhaber kein oder kein genügendes Nutzungsrecht einräumt. Das Bundessortenamt setzt bei der Erteilung des Zwangsnutzungsrechtes die Bedingungen, insbesondere die Höhe der an den Sortenschutzinhaber zu zahlenden Vergütung, fest.</w:t>
      </w:r>
    </w:p>
    <w:p>
      <w:r>
        <w:t xml:space="preserve">(2) Nach Ablauf eines Jahres seit der Erteilung des Zwangsnutzungsrechtes kann jeder Beteiligte eine erneute Festsetzung der Bedingungen beantragen. Der Antrag kann jeweils nach Ablauf eines Jahres wiederholt werden; er kann nur darauf gestützt werden, daß sich die für die Festsetzung maßgebenden Umstände inzwischen erheblich geändert haben.</w:t>
      </w:r>
    </w:p>
    <w:p>
      <w:r>
        <w:t xml:space="preserve">(3) Vor der Entscheidung über die Erteilung eines Zwangsnutzungsrechtes und die Neufestsetzung soll das Bundessortenamt die betroffenen Spitzenverbände hören.</w:t>
      </w:r>
    </w:p>
    <w:p>
      <w:r>
        <w:t xml:space="preserve">(4) Ist ein Zwangsnutzungsrecht für eine Sorte einer dem Saatgutverkehrsgesetz unterliegenden Art erteilt worden, so kann der Sortenschutzinhaber von der zuständigen Behörde Auskunft darüber verlangen,</w:t>
      </w:r>
    </w:p>
    <w:p>
      <w:pPr>
        <w:ind w:left="420"/>
      </w:pPr>
      <w:r>
        <w:t xml:space="preserve">1. wer für Vermehrungsmaterial der geschützten Sorte die Anerkennung von Saatgut beantragt hat,</w:t>
      </w:r>
    </w:p>
    <w:p>
      <w:pPr>
        <w:ind w:left="420"/>
      </w:pPr>
      <w:r>
        <w:t xml:space="preserve">2. welche Größe der Vermehrungsflächen in dem Antrag auf Anerkennung angegeben worden ist,</w:t>
      </w:r>
    </w:p>
    <w:p>
      <w:pPr>
        <w:ind w:left="420"/>
      </w:pPr>
      <w:r>
        <w:t xml:space="preserve">3. welches Gewicht oder welche Stückzahl für die Partien angegeben worden ist.</w:t>
      </w:r>
    </w:p>
    <w:p>
      <w:r>
        <w:rPr>
          <w:color w:val="555555"/>
          <w:sz w:val="17"/>
        </w:rPr>
        <w:t xml:space="preserve">Zitiervorschlag: § 12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