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SortSchG 1985 — Rechtsnachfolge, Nutzungsrechte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(1) Das Recht auf Sortenschutz, der Anspruch auf Erteilung des Sortenschutzes und der Sortenschutz sind auf natürliche und juristische Personen oder rechtsfähige Personengesellschaften, die die Anforderungen nach § 15 erfüllen, übertragbar.</w:t>
      </w:r>
    </w:p>
    <w:p>
      <w:r>
        <w:t xml:space="preserve">(2) Der Sortenschutz kann ganz oder teilweise Gegenstand ausschließlicher oder nichtausschließlicher Nutzungsrechte sein.</w:t>
      </w:r>
    </w:p>
    <w:p>
      <w:r>
        <w:t xml:space="preserve">(3) Soweit ein Nutzungsberechtigter gegen eine Beschränkung des Nutzungsrechtes nach Absatz 2 verstößt, kann der Sortenschutz gegen ihn geltend gemacht werden.</w:t>
      </w:r>
    </w:p>
    <w:p>
      <w:r>
        <w:rPr>
          <w:color w:val="555555"/>
          <w:sz w:val="17"/>
        </w:rPr>
        <w:t xml:space="preserve">Zitiervorschlag: § 11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